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1728"/>
        <w:gridCol w:w="3922"/>
        <w:gridCol w:w="1980"/>
        <w:gridCol w:w="1582"/>
      </w:tblGrid>
      <w:tr w:rsidR="00E07B8B">
        <w:tblPrEx>
          <w:tblCellMar>
            <w:top w:w="0" w:type="dxa"/>
            <w:bottom w:w="0" w:type="dxa"/>
          </w:tblCellMar>
        </w:tblPrEx>
        <w:trPr>
          <w:trHeight w:val="892"/>
        </w:trPr>
        <w:tc>
          <w:tcPr>
            <w:tcW w:w="1728" w:type="dxa"/>
          </w:tcPr>
          <w:p w:rsidR="00E07B8B" w:rsidRDefault="00E07B8B">
            <w:pPr>
              <w:jc w:val="both"/>
            </w:pPr>
            <w:bookmarkStart w:id="0" w:name="_GoBack"/>
            <w:bookmarkEnd w:id="0"/>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fillcolor="window">
                  <v:imagedata r:id="rId7" o:title=""/>
                </v:shape>
              </w:pict>
            </w:r>
          </w:p>
        </w:tc>
        <w:tc>
          <w:tcPr>
            <w:tcW w:w="3922" w:type="dxa"/>
          </w:tcPr>
          <w:p w:rsidR="00E07B8B" w:rsidRDefault="00E07B8B">
            <w:pPr>
              <w:jc w:val="both"/>
            </w:pPr>
          </w:p>
          <w:p w:rsidR="00E07B8B" w:rsidRDefault="00E07B8B">
            <w:pPr>
              <w:jc w:val="both"/>
            </w:pPr>
            <w:r>
              <w:t>EUROPEAN COMMISSION</w:t>
            </w:r>
          </w:p>
          <w:p w:rsidR="00E07B8B" w:rsidRDefault="00E07B8B">
            <w:pPr>
              <w:jc w:val="both"/>
              <w:rPr>
                <w:sz w:val="16"/>
              </w:rPr>
            </w:pPr>
            <w:r>
              <w:rPr>
                <w:sz w:val="16"/>
              </w:rPr>
              <w:t>DIRECTORATE-GENERAL ‘RESEARCH’</w:t>
            </w:r>
          </w:p>
        </w:tc>
        <w:tc>
          <w:tcPr>
            <w:tcW w:w="1980" w:type="dxa"/>
          </w:tcPr>
          <w:p w:rsidR="00E07B8B" w:rsidRDefault="00E07B8B">
            <w:pPr>
              <w:jc w:val="both"/>
              <w:rPr>
                <w:sz w:val="22"/>
              </w:rPr>
            </w:pPr>
            <w:r>
              <w:rPr>
                <w:sz w:val="22"/>
              </w:rPr>
              <w:t>INTERNATIONAL</w:t>
            </w:r>
          </w:p>
          <w:p w:rsidR="00E07B8B" w:rsidRDefault="00E07B8B">
            <w:pPr>
              <w:jc w:val="both"/>
              <w:rPr>
                <w:sz w:val="22"/>
              </w:rPr>
            </w:pPr>
            <w:r>
              <w:rPr>
                <w:sz w:val="22"/>
              </w:rPr>
              <w:t>SCIENCE AND</w:t>
            </w:r>
          </w:p>
          <w:p w:rsidR="00E07B8B" w:rsidRDefault="00E07B8B">
            <w:pPr>
              <w:jc w:val="both"/>
              <w:rPr>
                <w:sz w:val="22"/>
              </w:rPr>
            </w:pPr>
            <w:r>
              <w:rPr>
                <w:sz w:val="22"/>
              </w:rPr>
              <w:t>TECHNOLOGY</w:t>
            </w:r>
          </w:p>
          <w:p w:rsidR="00E07B8B" w:rsidRDefault="00E07B8B">
            <w:pPr>
              <w:jc w:val="both"/>
            </w:pPr>
            <w:r>
              <w:rPr>
                <w:sz w:val="22"/>
              </w:rPr>
              <w:t>CENTRE</w:t>
            </w:r>
          </w:p>
        </w:tc>
        <w:tc>
          <w:tcPr>
            <w:tcW w:w="1582" w:type="dxa"/>
          </w:tcPr>
          <w:p w:rsidR="00E07B8B" w:rsidRDefault="00E07B8B">
            <w:pPr>
              <w:jc w:val="both"/>
            </w:pPr>
            <w:r>
              <w:rPr>
                <w:rFonts w:ascii="Times New Roman CYR" w:hAnsi="Times New Roman CYR"/>
              </w:rPr>
              <w:pict>
                <v:shape id="_x0000_i1026" type="#_x0000_t75" style="width:58.8pt;height:46.8pt" fillcolor="window">
                  <v:imagedata r:id="rId8" o:title=""/>
                </v:shape>
              </w:pict>
            </w:r>
          </w:p>
        </w:tc>
      </w:tr>
    </w:tbl>
    <w:p w:rsidR="00E07B8B" w:rsidRDefault="00E07B8B">
      <w:pPr>
        <w:pStyle w:val="Initial"/>
        <w:jc w:val="left"/>
        <w:rPr>
          <w:rStyle w:val="DefaultMargins"/>
          <w:b/>
          <w:spacing w:val="0"/>
          <w:sz w:val="16"/>
          <w:lang w:val="en-GB"/>
        </w:rPr>
      </w:pPr>
    </w:p>
    <w:p w:rsidR="00E07B8B" w:rsidRDefault="00E07B8B">
      <w:pPr>
        <w:pStyle w:val="Initial"/>
        <w:jc w:val="center"/>
        <w:rPr>
          <w:rStyle w:val="DefaultMargins"/>
          <w:b/>
          <w:spacing w:val="0"/>
          <w:sz w:val="26"/>
          <w:lang w:val="en-GB"/>
        </w:rPr>
      </w:pPr>
      <w:r>
        <w:rPr>
          <w:rStyle w:val="DefaultMargins"/>
          <w:b/>
          <w:spacing w:val="0"/>
          <w:sz w:val="26"/>
          <w:lang w:val="en-GB"/>
        </w:rPr>
        <w:t>CONTACT EXPERT GROUP on SEVERE ACCIDENT MANAGEMENT (CEG-SAM)</w:t>
      </w:r>
    </w:p>
    <w:p w:rsidR="00E07B8B" w:rsidRDefault="00E07B8B">
      <w:pPr>
        <w:pStyle w:val="Initial"/>
        <w:jc w:val="center"/>
        <w:rPr>
          <w:rStyle w:val="DefaultMargins"/>
          <w:b/>
          <w:spacing w:val="0"/>
          <w:sz w:val="16"/>
          <w:lang w:val="en-GB"/>
        </w:rPr>
      </w:pPr>
    </w:p>
    <w:p w:rsidR="00E07B8B" w:rsidRDefault="00E07B8B">
      <w:pPr>
        <w:pStyle w:val="Initial"/>
        <w:tabs>
          <w:tab w:val="clear" w:pos="-720"/>
          <w:tab w:val="left" w:pos="2126"/>
          <w:tab w:val="right" w:pos="9072"/>
        </w:tabs>
        <w:rPr>
          <w:rStyle w:val="DefaultMargins"/>
          <w:rFonts w:ascii="Arial" w:hAnsi="Arial"/>
          <w:spacing w:val="0"/>
          <w:sz w:val="20"/>
          <w:lang w:val="en-GB"/>
        </w:rPr>
      </w:pPr>
      <w:r>
        <w:rPr>
          <w:rStyle w:val="DefaultMargins"/>
          <w:rFonts w:ascii="Arial" w:hAnsi="Arial"/>
          <w:i/>
          <w:spacing w:val="0"/>
          <w:sz w:val="20"/>
          <w:lang w:val="en-GB"/>
        </w:rPr>
        <w:t>To:</w:t>
      </w:r>
      <w:r>
        <w:rPr>
          <w:rStyle w:val="DefaultMargins"/>
          <w:rFonts w:ascii="Arial" w:hAnsi="Arial"/>
          <w:spacing w:val="0"/>
          <w:sz w:val="20"/>
          <w:lang w:val="en-GB"/>
        </w:rPr>
        <w:tab/>
      </w:r>
      <w:r w:rsidRPr="002F5DF5">
        <w:rPr>
          <w:rStyle w:val="DefaultMargins"/>
          <w:rFonts w:ascii="Arial" w:hAnsi="Arial"/>
          <w:spacing w:val="0"/>
          <w:sz w:val="20"/>
          <w:lang w:val="en-GB"/>
        </w:rPr>
        <w:t>R. Burmanjer (EC, DG-RTD / D.3)</w:t>
      </w:r>
      <w:r>
        <w:rPr>
          <w:rStyle w:val="DefaultMargins"/>
          <w:rFonts w:ascii="Arial" w:hAnsi="Arial"/>
          <w:spacing w:val="0"/>
          <w:sz w:val="20"/>
          <w:lang w:val="en-GB"/>
        </w:rPr>
        <w:tab/>
      </w:r>
      <w:r>
        <w:rPr>
          <w:rStyle w:val="DefaultMargins"/>
          <w:rFonts w:ascii="Arial" w:hAnsi="Arial"/>
          <w:i/>
          <w:spacing w:val="0"/>
          <w:sz w:val="20"/>
          <w:lang w:val="en-GB"/>
        </w:rPr>
        <w:t>Advice no.:</w:t>
      </w:r>
      <w:r>
        <w:rPr>
          <w:rStyle w:val="DefaultMargins"/>
          <w:rFonts w:ascii="Arial" w:hAnsi="Arial"/>
          <w:spacing w:val="-2"/>
          <w:sz w:val="20"/>
          <w:lang w:val="en-GB"/>
        </w:rPr>
        <w:t xml:space="preserve"> A-20</w:t>
      </w:r>
    </w:p>
    <w:p w:rsidR="00E07B8B" w:rsidRDefault="00E07B8B">
      <w:pPr>
        <w:pStyle w:val="Initial"/>
        <w:tabs>
          <w:tab w:val="clear" w:pos="-720"/>
          <w:tab w:val="left" w:pos="2126"/>
          <w:tab w:val="right" w:pos="9072"/>
        </w:tabs>
        <w:rPr>
          <w:rStyle w:val="DefaultMargins"/>
          <w:rFonts w:ascii="Arial" w:hAnsi="Arial"/>
          <w:spacing w:val="0"/>
          <w:sz w:val="20"/>
          <w:lang w:val="en-GB"/>
        </w:rPr>
      </w:pPr>
      <w:r>
        <w:rPr>
          <w:rStyle w:val="DefaultMargins"/>
          <w:rFonts w:ascii="Arial" w:hAnsi="Arial"/>
          <w:i/>
          <w:spacing w:val="0"/>
          <w:sz w:val="20"/>
          <w:lang w:val="en-GB"/>
        </w:rPr>
        <w:t>Project code:</w:t>
      </w:r>
      <w:r>
        <w:rPr>
          <w:rStyle w:val="DefaultMargins"/>
          <w:rFonts w:ascii="Arial" w:hAnsi="Arial"/>
          <w:spacing w:val="0"/>
          <w:sz w:val="20"/>
          <w:lang w:val="en-GB"/>
        </w:rPr>
        <w:tab/>
        <w:t>ISTC # 3936</w:t>
      </w:r>
      <w:r>
        <w:rPr>
          <w:rStyle w:val="DefaultMargins"/>
          <w:rFonts w:ascii="Arial" w:hAnsi="Arial"/>
          <w:spacing w:val="0"/>
          <w:sz w:val="20"/>
          <w:lang w:val="en-GB"/>
        </w:rPr>
        <w:tab/>
      </w:r>
      <w:r>
        <w:rPr>
          <w:rStyle w:val="DefaultMargins"/>
          <w:rFonts w:ascii="Arial" w:hAnsi="Arial"/>
          <w:i/>
          <w:spacing w:val="0"/>
          <w:sz w:val="20"/>
          <w:lang w:val="en-GB"/>
        </w:rPr>
        <w:t xml:space="preserve">Date: </w:t>
      </w:r>
      <w:r w:rsidR="002F5DF5">
        <w:rPr>
          <w:rStyle w:val="DefaultMargins"/>
          <w:rFonts w:ascii="Arial" w:hAnsi="Arial"/>
          <w:spacing w:val="0"/>
          <w:sz w:val="20"/>
          <w:lang w:val="en-GB"/>
        </w:rPr>
        <w:t>6</w:t>
      </w:r>
      <w:r>
        <w:rPr>
          <w:rStyle w:val="DefaultMargins"/>
          <w:rFonts w:ascii="Arial" w:hAnsi="Arial"/>
          <w:spacing w:val="0"/>
          <w:sz w:val="20"/>
          <w:vertAlign w:val="superscript"/>
          <w:lang w:val="en-GB"/>
        </w:rPr>
        <w:t>th</w:t>
      </w:r>
      <w:r>
        <w:rPr>
          <w:rStyle w:val="DefaultMargins"/>
          <w:rFonts w:ascii="Arial" w:hAnsi="Arial"/>
          <w:spacing w:val="0"/>
          <w:sz w:val="20"/>
          <w:lang w:val="en-GB"/>
        </w:rPr>
        <w:t xml:space="preserve"> </w:t>
      </w:r>
      <w:r w:rsidR="002F5DF5">
        <w:rPr>
          <w:rStyle w:val="DefaultMargins"/>
          <w:rFonts w:ascii="Arial" w:hAnsi="Arial"/>
          <w:spacing w:val="0"/>
          <w:sz w:val="20"/>
          <w:lang w:val="en-GB"/>
        </w:rPr>
        <w:t>April</w:t>
      </w:r>
      <w:r>
        <w:rPr>
          <w:rStyle w:val="DefaultMargins"/>
          <w:rFonts w:ascii="Arial" w:hAnsi="Arial"/>
          <w:spacing w:val="0"/>
          <w:sz w:val="20"/>
          <w:lang w:val="en-GB"/>
        </w:rPr>
        <w:t xml:space="preserve"> 2009</w:t>
      </w:r>
    </w:p>
    <w:p w:rsidR="00E07B8B" w:rsidRDefault="00E07B8B">
      <w:pPr>
        <w:pStyle w:val="Initial"/>
        <w:tabs>
          <w:tab w:val="clear" w:pos="-720"/>
          <w:tab w:val="left" w:pos="2126"/>
          <w:tab w:val="right" w:pos="9072"/>
        </w:tabs>
        <w:rPr>
          <w:rStyle w:val="DefaultMargins"/>
          <w:rFonts w:ascii="Arial" w:hAnsi="Arial"/>
          <w:spacing w:val="0"/>
          <w:sz w:val="20"/>
          <w:lang w:val="en-GB"/>
        </w:rPr>
      </w:pPr>
      <w:r>
        <w:rPr>
          <w:rStyle w:val="DefaultMargins"/>
          <w:rFonts w:ascii="Arial" w:hAnsi="Arial"/>
          <w:i/>
          <w:spacing w:val="0"/>
          <w:sz w:val="20"/>
          <w:lang w:val="en-GB"/>
        </w:rPr>
        <w:t>Signatures:</w:t>
      </w:r>
      <w:r>
        <w:rPr>
          <w:rStyle w:val="DefaultMargins"/>
          <w:rFonts w:ascii="Arial" w:hAnsi="Arial"/>
          <w:spacing w:val="0"/>
          <w:sz w:val="20"/>
          <w:lang w:val="en-GB"/>
        </w:rPr>
        <w:tab/>
        <w:t>P. Hofmann (Secretary)</w:t>
      </w:r>
    </w:p>
    <w:p w:rsidR="00E07B8B" w:rsidRDefault="00E07B8B">
      <w:pPr>
        <w:pStyle w:val="Initial"/>
        <w:tabs>
          <w:tab w:val="clear" w:pos="-720"/>
          <w:tab w:val="left" w:pos="2126"/>
          <w:tab w:val="right" w:pos="9072"/>
        </w:tabs>
        <w:rPr>
          <w:rStyle w:val="DefaultMargins"/>
          <w:rFonts w:ascii="Arial" w:hAnsi="Arial"/>
          <w:spacing w:val="0"/>
          <w:sz w:val="20"/>
          <w:lang w:val="en-GB"/>
        </w:rPr>
      </w:pPr>
      <w:r>
        <w:rPr>
          <w:rStyle w:val="DefaultMargins"/>
          <w:rFonts w:ascii="Arial" w:hAnsi="Arial"/>
          <w:i/>
          <w:spacing w:val="0"/>
          <w:sz w:val="20"/>
          <w:lang w:val="en-GB"/>
        </w:rPr>
        <w:t>Linked meeting:</w:t>
      </w:r>
      <w:r>
        <w:rPr>
          <w:rStyle w:val="DefaultMargins"/>
          <w:rFonts w:ascii="Arial" w:hAnsi="Arial"/>
          <w:i/>
          <w:spacing w:val="0"/>
          <w:sz w:val="20"/>
          <w:lang w:val="en-GB"/>
        </w:rPr>
        <w:tab/>
      </w:r>
      <w:r>
        <w:rPr>
          <w:rStyle w:val="DefaultMargins"/>
          <w:rFonts w:ascii="Arial" w:hAnsi="Arial"/>
          <w:spacing w:val="0"/>
          <w:sz w:val="20"/>
          <w:lang w:val="en-GB"/>
        </w:rPr>
        <w:t>15</w:t>
      </w:r>
      <w:r>
        <w:rPr>
          <w:rStyle w:val="DefaultMargins"/>
          <w:rFonts w:ascii="Arial" w:hAnsi="Arial"/>
          <w:spacing w:val="0"/>
          <w:sz w:val="20"/>
          <w:vertAlign w:val="superscript"/>
          <w:lang w:val="en-GB"/>
        </w:rPr>
        <w:t>th</w:t>
      </w:r>
      <w:r>
        <w:rPr>
          <w:rStyle w:val="DefaultMargins"/>
          <w:rFonts w:ascii="Arial" w:hAnsi="Arial"/>
          <w:spacing w:val="0"/>
          <w:sz w:val="20"/>
          <w:lang w:val="en-GB"/>
        </w:rPr>
        <w:t xml:space="preserve"> CEG-SAM meeting, Villigen, </w:t>
      </w:r>
      <w:smartTag w:uri="urn:schemas-microsoft-com:office:smarttags" w:element="country-region">
        <w:smartTag w:uri="urn:schemas-microsoft-com:office:smarttags" w:element="place">
          <w:r>
            <w:rPr>
              <w:rStyle w:val="DefaultMargins"/>
              <w:rFonts w:ascii="Arial" w:hAnsi="Arial"/>
              <w:spacing w:val="0"/>
              <w:sz w:val="20"/>
              <w:lang w:val="en-GB"/>
            </w:rPr>
            <w:t>Switzerland</w:t>
          </w:r>
        </w:smartTag>
      </w:smartTag>
      <w:r>
        <w:rPr>
          <w:rStyle w:val="DefaultMargins"/>
          <w:rFonts w:ascii="Arial" w:hAnsi="Arial"/>
          <w:spacing w:val="0"/>
          <w:sz w:val="20"/>
          <w:lang w:val="en-GB"/>
        </w:rPr>
        <w:t>, March 10-12 2009</w:t>
      </w:r>
    </w:p>
    <w:p w:rsidR="00E07B8B" w:rsidRDefault="00E07B8B">
      <w:pPr>
        <w:tabs>
          <w:tab w:val="left" w:pos="2126"/>
          <w:tab w:val="right" w:pos="9072"/>
        </w:tabs>
        <w:suppressAutoHyphens/>
        <w:ind w:left="2124" w:hanging="2124"/>
        <w:jc w:val="both"/>
        <w:rPr>
          <w:rFonts w:ascii="Arial" w:hAnsi="Arial"/>
          <w:sz w:val="20"/>
        </w:rPr>
      </w:pPr>
      <w:r>
        <w:rPr>
          <w:rStyle w:val="DefaultMargins"/>
          <w:rFonts w:ascii="Arial" w:hAnsi="Arial"/>
          <w:i/>
          <w:sz w:val="20"/>
          <w:lang w:val="en-GB"/>
        </w:rPr>
        <w:t>Attending members:</w:t>
      </w:r>
      <w:r>
        <w:rPr>
          <w:rStyle w:val="DefaultMargins"/>
          <w:rFonts w:ascii="Arial" w:hAnsi="Arial"/>
          <w:i/>
          <w:sz w:val="20"/>
          <w:lang w:val="en-GB"/>
        </w:rPr>
        <w:tab/>
      </w:r>
      <w:r>
        <w:rPr>
          <w:rStyle w:val="DefaultMargins"/>
          <w:rFonts w:ascii="Arial" w:hAnsi="Arial"/>
          <w:sz w:val="20"/>
          <w:lang w:val="en-GB"/>
        </w:rPr>
        <w:t xml:space="preserve">Birchley, </w:t>
      </w:r>
      <w:r>
        <w:rPr>
          <w:rFonts w:ascii="Arial" w:hAnsi="Arial"/>
          <w:sz w:val="20"/>
        </w:rPr>
        <w:t xml:space="preserve">Güntay (PSI); Bottomley (JRC-ITU); Clement (IRSN); Ducros, Journeau (CEA); Fischer (AREVA); Herranz (CIEMAT); Koch (RUB-LEE); Krause (AECL); Lamy (EdF); Miassoedov, Palagin, Stuckert, Tromm (FZK); Oriolo (UniPi); </w:t>
      </w:r>
      <w:r>
        <w:rPr>
          <w:rStyle w:val="DefaultMargins"/>
          <w:rFonts w:ascii="Arial" w:hAnsi="Arial"/>
          <w:sz w:val="20"/>
          <w:lang w:val="en-GB"/>
        </w:rPr>
        <w:t xml:space="preserve">Pretzsch, </w:t>
      </w:r>
      <w:r>
        <w:rPr>
          <w:rFonts w:ascii="Arial" w:hAnsi="Arial"/>
          <w:sz w:val="20"/>
        </w:rPr>
        <w:t>Schwinges, Trambauer (GRS);</w:t>
      </w:r>
    </w:p>
    <w:p w:rsidR="00E07B8B" w:rsidRDefault="00E07B8B">
      <w:pPr>
        <w:pBdr>
          <w:bottom w:val="single" w:sz="6" w:space="1" w:color="auto"/>
        </w:pBdr>
        <w:tabs>
          <w:tab w:val="left" w:pos="2126"/>
          <w:tab w:val="right" w:pos="9072"/>
        </w:tabs>
        <w:suppressAutoHyphens/>
        <w:ind w:left="2155" w:hanging="2155"/>
        <w:jc w:val="both"/>
        <w:rPr>
          <w:rFonts w:ascii="Arial" w:hAnsi="Arial"/>
          <w:sz w:val="20"/>
        </w:rPr>
      </w:pPr>
      <w:r>
        <w:rPr>
          <w:rFonts w:ascii="Arial" w:hAnsi="Arial"/>
          <w:i/>
          <w:sz w:val="20"/>
        </w:rPr>
        <w:t>Copies:</w:t>
      </w:r>
      <w:r>
        <w:rPr>
          <w:rFonts w:ascii="Arial" w:hAnsi="Arial"/>
          <w:i/>
          <w:sz w:val="20"/>
        </w:rPr>
        <w:tab/>
      </w:r>
      <w:r>
        <w:rPr>
          <w:rFonts w:ascii="Arial" w:hAnsi="Arial"/>
          <w:sz w:val="20"/>
        </w:rPr>
        <w:t xml:space="preserve">CEG-SAM members; M. Hugon, J. Sanders (EC, </w:t>
      </w:r>
      <w:r>
        <w:rPr>
          <w:rStyle w:val="DefaultMargins"/>
          <w:rFonts w:ascii="Arial" w:hAnsi="Arial"/>
          <w:sz w:val="20"/>
          <w:lang w:val="en-GB"/>
        </w:rPr>
        <w:t>DG-RTD / D.3</w:t>
      </w:r>
      <w:r>
        <w:rPr>
          <w:rFonts w:ascii="Arial" w:hAnsi="Arial"/>
          <w:sz w:val="20"/>
        </w:rPr>
        <w:t xml:space="preserve">), S. Webster (EC, </w:t>
      </w:r>
      <w:r>
        <w:rPr>
          <w:rStyle w:val="DefaultMargins"/>
          <w:rFonts w:ascii="Arial" w:hAnsi="Arial"/>
          <w:sz w:val="20"/>
          <w:lang w:val="en-GB"/>
        </w:rPr>
        <w:t xml:space="preserve">DG-RTD / J.2), </w:t>
      </w:r>
      <w:r>
        <w:rPr>
          <w:rFonts w:ascii="Arial" w:hAnsi="Arial"/>
          <w:sz w:val="20"/>
        </w:rPr>
        <w:t xml:space="preserve">L.Tocheny (ISTC, </w:t>
      </w:r>
      <w:smartTag w:uri="urn:schemas-microsoft-com:office:smarttags" w:element="City">
        <w:smartTag w:uri="urn:schemas-microsoft-com:office:smarttags" w:element="place">
          <w:r>
            <w:rPr>
              <w:rFonts w:ascii="Arial" w:hAnsi="Arial"/>
              <w:sz w:val="20"/>
            </w:rPr>
            <w:t>Moscow</w:t>
          </w:r>
        </w:smartTag>
      </w:smartTag>
      <w:r>
        <w:rPr>
          <w:rFonts w:ascii="Arial" w:hAnsi="Arial"/>
          <w:sz w:val="20"/>
        </w:rPr>
        <w:t>)</w:t>
      </w:r>
    </w:p>
    <w:p w:rsidR="00E07B8B" w:rsidRDefault="00E07B8B">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Fonts w:ascii="Arial" w:hAnsi="Arial"/>
          <w:sz w:val="20"/>
        </w:rPr>
      </w:pPr>
    </w:p>
    <w:p w:rsidR="00E07B8B" w:rsidRDefault="00E07B8B">
      <w:pPr>
        <w:pStyle w:val="Textkrper-Einzug2"/>
        <w:ind w:left="2124" w:hanging="2124"/>
        <w:jc w:val="left"/>
        <w:rPr>
          <w:sz w:val="20"/>
        </w:rPr>
      </w:pPr>
      <w:r>
        <w:rPr>
          <w:sz w:val="20"/>
        </w:rPr>
        <w:t xml:space="preserve">* </w:t>
      </w:r>
      <w:r>
        <w:rPr>
          <w:sz w:val="20"/>
          <w:u w:val="single"/>
        </w:rPr>
        <w:t>Subject:</w:t>
      </w:r>
      <w:r>
        <w:rPr>
          <w:sz w:val="20"/>
        </w:rPr>
        <w:tab/>
        <w:t>- “</w:t>
      </w:r>
      <w:r>
        <w:t>Study of fuel assemblies with boron carbide absorber rods under severe accident conditions in the PARAMETER-SF tests series”</w:t>
      </w:r>
    </w:p>
    <w:p w:rsidR="00E07B8B" w:rsidRDefault="00E07B8B">
      <w:pPr>
        <w:pStyle w:val="Textkrper-Einzug2"/>
        <w:rPr>
          <w:sz w:val="20"/>
        </w:rPr>
      </w:pPr>
      <w:r>
        <w:rPr>
          <w:sz w:val="20"/>
        </w:rPr>
        <w:t xml:space="preserve">* </w:t>
      </w:r>
      <w:r>
        <w:rPr>
          <w:sz w:val="20"/>
          <w:u w:val="single"/>
        </w:rPr>
        <w:t>EU Collaborators:</w:t>
      </w:r>
      <w:r>
        <w:rPr>
          <w:sz w:val="20"/>
        </w:rPr>
        <w:tab/>
        <w:t xml:space="preserve">- </w:t>
      </w:r>
      <w:r w:rsidRPr="002F5DF5">
        <w:rPr>
          <w:sz w:val="20"/>
        </w:rPr>
        <w:t>CEA, EDF, FZK, GRS, IRSN, JRC-ITU, PSI, AEKI</w:t>
      </w:r>
    </w:p>
    <w:p w:rsidR="00E07B8B" w:rsidRDefault="00E07B8B">
      <w:pPr>
        <w:ind w:left="2160" w:hanging="2124"/>
        <w:jc w:val="both"/>
        <w:rPr>
          <w:rFonts w:ascii="Arial" w:hAnsi="Arial"/>
          <w:sz w:val="20"/>
        </w:rPr>
      </w:pPr>
      <w:r>
        <w:rPr>
          <w:rFonts w:ascii="Arial" w:hAnsi="Arial"/>
          <w:sz w:val="20"/>
        </w:rPr>
        <w:t xml:space="preserve">* </w:t>
      </w:r>
      <w:r>
        <w:rPr>
          <w:rFonts w:ascii="Arial" w:hAnsi="Arial"/>
          <w:sz w:val="20"/>
          <w:u w:val="single"/>
        </w:rPr>
        <w:t>Documents:</w:t>
      </w:r>
      <w:r>
        <w:rPr>
          <w:rFonts w:ascii="Arial" w:hAnsi="Arial"/>
          <w:sz w:val="20"/>
        </w:rPr>
        <w:tab/>
        <w:t xml:space="preserve">Project proposal # 3936 “Fuel assemblies under severe accident conditions", LUCH, </w:t>
      </w:r>
      <w:smartTag w:uri="urn:schemas-microsoft-com:office:smarttags" w:element="City">
        <w:r>
          <w:rPr>
            <w:rFonts w:ascii="Arial" w:hAnsi="Arial"/>
            <w:sz w:val="20"/>
          </w:rPr>
          <w:t>Podolsk</w:t>
        </w:r>
      </w:smartTag>
      <w:r>
        <w:rPr>
          <w:rFonts w:ascii="Arial" w:hAnsi="Arial"/>
          <w:sz w:val="20"/>
        </w:rPr>
        <w:t xml:space="preserve">; IBRAE, </w:t>
      </w:r>
      <w:smartTag w:uri="urn:schemas-microsoft-com:office:smarttags" w:element="City">
        <w:r>
          <w:rPr>
            <w:rFonts w:ascii="Arial" w:hAnsi="Arial"/>
            <w:sz w:val="20"/>
          </w:rPr>
          <w:t>Moscow</w:t>
        </w:r>
      </w:smartTag>
      <w:r>
        <w:rPr>
          <w:rFonts w:ascii="Arial" w:hAnsi="Arial"/>
          <w:sz w:val="20"/>
        </w:rPr>
        <w:t xml:space="preserve">; GIDROPRESS, </w:t>
      </w:r>
      <w:smartTag w:uri="urn:schemas-microsoft-com:office:smarttags" w:element="City">
        <w:smartTag w:uri="urn:schemas-microsoft-com:office:smarttags" w:element="place">
          <w:r>
            <w:rPr>
              <w:rFonts w:ascii="Arial" w:hAnsi="Arial"/>
              <w:sz w:val="20"/>
            </w:rPr>
            <w:t>Podolsk</w:t>
          </w:r>
        </w:smartTag>
      </w:smartTag>
      <w:r>
        <w:rPr>
          <w:rFonts w:ascii="Arial" w:hAnsi="Arial"/>
          <w:sz w:val="20"/>
        </w:rPr>
        <w:t>.</w:t>
      </w:r>
    </w:p>
    <w:p w:rsidR="00E07B8B" w:rsidRDefault="00E07B8B">
      <w:pPr>
        <w:ind w:left="2160" w:hanging="2124"/>
        <w:jc w:val="both"/>
        <w:rPr>
          <w:rFonts w:ascii="Arial" w:hAnsi="Arial"/>
          <w:sz w:val="20"/>
        </w:rPr>
      </w:pPr>
    </w:p>
    <w:p w:rsidR="00E07B8B" w:rsidRDefault="00E07B8B">
      <w:pPr>
        <w:ind w:left="2124" w:hanging="2124"/>
        <w:jc w:val="both"/>
        <w:rPr>
          <w:rFonts w:ascii="Arial" w:hAnsi="Arial"/>
          <w:sz w:val="20"/>
        </w:rPr>
      </w:pPr>
      <w:r>
        <w:rPr>
          <w:rFonts w:ascii="Arial" w:hAnsi="Arial"/>
          <w:sz w:val="20"/>
        </w:rPr>
        <w:t xml:space="preserve">* </w:t>
      </w:r>
      <w:r>
        <w:rPr>
          <w:rFonts w:ascii="Arial" w:hAnsi="Arial"/>
          <w:sz w:val="20"/>
          <w:u w:val="single"/>
        </w:rPr>
        <w:t>Advice</w:t>
      </w:r>
      <w:r>
        <w:rPr>
          <w:rFonts w:ascii="Arial" w:hAnsi="Arial"/>
          <w:sz w:val="20"/>
        </w:rPr>
        <w:t>:</w:t>
      </w:r>
      <w:r>
        <w:rPr>
          <w:rFonts w:ascii="Arial" w:hAnsi="Arial"/>
          <w:sz w:val="20"/>
        </w:rPr>
        <w:tab/>
        <w:t xml:space="preserve">- </w:t>
      </w:r>
      <w:r>
        <w:rPr>
          <w:rFonts w:ascii="Arial" w:hAnsi="Arial"/>
          <w:b/>
          <w:sz w:val="20"/>
        </w:rPr>
        <w:t>EU funding recommended with high priority</w:t>
      </w:r>
    </w:p>
    <w:p w:rsidR="00E07B8B" w:rsidRDefault="00E07B8B">
      <w:pPr>
        <w:jc w:val="both"/>
        <w:rPr>
          <w:rFonts w:ascii="Arial" w:hAnsi="Arial"/>
          <w:sz w:val="20"/>
        </w:rPr>
      </w:pPr>
    </w:p>
    <w:p w:rsidR="00E07B8B" w:rsidRDefault="00E07B8B">
      <w:pPr>
        <w:jc w:val="both"/>
        <w:rPr>
          <w:rFonts w:ascii="Arial" w:hAnsi="Arial"/>
          <w:sz w:val="20"/>
        </w:rPr>
      </w:pPr>
      <w:r>
        <w:rPr>
          <w:rFonts w:ascii="Arial" w:hAnsi="Arial"/>
          <w:sz w:val="20"/>
        </w:rPr>
        <w:t xml:space="preserve">* </w:t>
      </w:r>
      <w:r>
        <w:rPr>
          <w:rFonts w:ascii="Arial" w:hAnsi="Arial"/>
          <w:sz w:val="20"/>
          <w:u w:val="single"/>
        </w:rPr>
        <w:t>Justification:</w:t>
      </w:r>
      <w:r>
        <w:rPr>
          <w:rFonts w:ascii="Arial" w:hAnsi="Arial"/>
          <w:sz w:val="20"/>
        </w:rPr>
        <w:tab/>
      </w:r>
      <w:r>
        <w:rPr>
          <w:rFonts w:ascii="Arial" w:hAnsi="Arial"/>
          <w:sz w:val="20"/>
        </w:rPr>
        <w:tab/>
        <w:t xml:space="preserve">- This proposed project will last for 24 months for a total cost of 600,000 US$. This proposal extends the work of the PARAMETER-SF projects (#3194 and #3690) where four tests (SF1 – SF4) have been performed, two with top quenching, one with combined </w:t>
      </w:r>
      <w:bookmarkStart w:id="1" w:name="OLE_LINK1"/>
      <w:bookmarkStart w:id="2" w:name="OLE_LINK2"/>
      <w:r>
        <w:rPr>
          <w:rFonts w:ascii="Arial" w:hAnsi="Arial"/>
          <w:sz w:val="20"/>
        </w:rPr>
        <w:t xml:space="preserve">quenching </w:t>
      </w:r>
      <w:bookmarkEnd w:id="1"/>
      <w:bookmarkEnd w:id="2"/>
      <w:r>
        <w:rPr>
          <w:rFonts w:ascii="Arial" w:hAnsi="Arial"/>
          <w:sz w:val="20"/>
        </w:rPr>
        <w:t>and one with air ingress and bottom quenching.</w:t>
      </w:r>
    </w:p>
    <w:p w:rsidR="00E07B8B" w:rsidRDefault="00E07B8B">
      <w:pPr>
        <w:rPr>
          <w:rFonts w:ascii="Arial" w:hAnsi="Arial"/>
          <w:sz w:val="20"/>
        </w:rPr>
      </w:pPr>
      <w:r>
        <w:rPr>
          <w:rFonts w:ascii="Arial" w:hAnsi="Arial"/>
          <w:sz w:val="20"/>
        </w:rPr>
        <w:t>The activities under the Project include preparation and performing of two experiments at the PARAMETER test facility studying the two model fuel assemblies (FA) of VVER-1000 with 18 heated fuel rods and the central boron carbide absorber rod (AR):</w:t>
      </w:r>
    </w:p>
    <w:p w:rsidR="00E07B8B" w:rsidRDefault="00E07B8B">
      <w:pPr>
        <w:jc w:val="both"/>
        <w:rPr>
          <w:rFonts w:ascii="Arial" w:hAnsi="Arial"/>
          <w:sz w:val="20"/>
        </w:rPr>
      </w:pPr>
      <w:r>
        <w:rPr>
          <w:rFonts w:ascii="Arial" w:hAnsi="Arial"/>
          <w:sz w:val="20"/>
        </w:rPr>
        <w:t>The project proposal comprises two main tasks:</w:t>
      </w:r>
    </w:p>
    <w:p w:rsidR="00E07B8B" w:rsidRDefault="00E07B8B">
      <w:pPr>
        <w:numPr>
          <w:ilvl w:val="0"/>
          <w:numId w:val="1"/>
        </w:numPr>
        <w:ind w:left="284" w:hanging="284"/>
        <w:jc w:val="both"/>
        <w:rPr>
          <w:rFonts w:ascii="Arial" w:hAnsi="Arial"/>
          <w:sz w:val="20"/>
        </w:rPr>
      </w:pPr>
      <w:r>
        <w:rPr>
          <w:rFonts w:ascii="Arial" w:hAnsi="Arial"/>
          <w:i/>
          <w:sz w:val="20"/>
        </w:rPr>
        <w:t>Task 1</w:t>
      </w:r>
      <w:r>
        <w:rPr>
          <w:rFonts w:ascii="Arial" w:hAnsi="Arial"/>
          <w:sz w:val="20"/>
        </w:rPr>
        <w:t xml:space="preserve">: </w:t>
      </w:r>
      <w:r>
        <w:rPr>
          <w:rFonts w:ascii="Arial" w:hAnsi="Arial"/>
          <w:sz w:val="20"/>
          <w:lang w:val="en-US"/>
        </w:rPr>
        <w:t xml:space="preserve">heating-up of the </w:t>
      </w:r>
      <w:r w:rsidR="00D67538">
        <w:rPr>
          <w:rFonts w:ascii="Arial" w:hAnsi="Arial"/>
          <w:sz w:val="20"/>
          <w:lang w:val="en-US"/>
        </w:rPr>
        <w:t xml:space="preserve">fuel </w:t>
      </w:r>
      <w:r>
        <w:rPr>
          <w:rFonts w:ascii="Arial" w:hAnsi="Arial"/>
          <w:sz w:val="20"/>
          <w:lang w:val="en-US"/>
        </w:rPr>
        <w:t xml:space="preserve">assembly in steam-argon flow to maximum temperature of fuel rods before the beginning of flooding </w:t>
      </w:r>
      <w:r>
        <w:rPr>
          <w:rFonts w:ascii="Arial" w:hAnsi="Arial"/>
          <w:sz w:val="20"/>
          <w:lang w:val="en-US"/>
        </w:rPr>
        <w:sym w:font="Symbol" w:char="F07E"/>
      </w:r>
      <w:r>
        <w:rPr>
          <w:rFonts w:ascii="Arial" w:hAnsi="Arial"/>
          <w:sz w:val="20"/>
          <w:lang w:val="en-US"/>
        </w:rPr>
        <w:t>1250</w:t>
      </w:r>
      <w:r>
        <w:rPr>
          <w:rFonts w:ascii="Arial" w:hAnsi="Arial"/>
          <w:sz w:val="20"/>
          <w:lang w:val="en-US"/>
        </w:rPr>
        <w:sym w:font="Symbol" w:char="F0B0"/>
      </w:r>
      <w:r>
        <w:rPr>
          <w:rFonts w:ascii="Arial" w:hAnsi="Arial"/>
          <w:sz w:val="20"/>
          <w:lang w:val="en-US"/>
        </w:rPr>
        <w:t xml:space="preserve">C </w:t>
      </w:r>
      <w:r w:rsidR="00255CD4">
        <w:rPr>
          <w:rFonts w:ascii="Arial" w:hAnsi="Arial"/>
          <w:sz w:val="20"/>
          <w:lang w:val="en-US"/>
        </w:rPr>
        <w:t xml:space="preserve">or above </w:t>
      </w:r>
      <w:r>
        <w:rPr>
          <w:rFonts w:ascii="Arial" w:hAnsi="Arial"/>
          <w:sz w:val="20"/>
          <w:lang w:val="en-US"/>
        </w:rPr>
        <w:t>(</w:t>
      </w:r>
      <w:r>
        <w:rPr>
          <w:rFonts w:ascii="Arial" w:hAnsi="Arial"/>
          <w:sz w:val="20"/>
        </w:rPr>
        <w:t>PARAMETER</w:t>
      </w:r>
      <w:r>
        <w:rPr>
          <w:rFonts w:ascii="Arial" w:hAnsi="Arial"/>
          <w:sz w:val="20"/>
          <w:lang w:val="en-US"/>
        </w:rPr>
        <w:t>-SF5 test)</w:t>
      </w:r>
      <w:r>
        <w:rPr>
          <w:rFonts w:ascii="Arial" w:hAnsi="Arial"/>
          <w:sz w:val="20"/>
        </w:rPr>
        <w:t>.</w:t>
      </w:r>
    </w:p>
    <w:p w:rsidR="00E07B8B" w:rsidRDefault="00E07B8B">
      <w:pPr>
        <w:numPr>
          <w:ilvl w:val="0"/>
          <w:numId w:val="1"/>
        </w:numPr>
        <w:ind w:left="284" w:hanging="284"/>
        <w:jc w:val="both"/>
        <w:rPr>
          <w:rFonts w:ascii="Arial" w:hAnsi="Arial"/>
          <w:sz w:val="20"/>
        </w:rPr>
      </w:pPr>
      <w:r>
        <w:rPr>
          <w:rFonts w:ascii="Arial" w:hAnsi="Arial"/>
          <w:i/>
          <w:sz w:val="20"/>
        </w:rPr>
        <w:t>Task 2</w:t>
      </w:r>
      <w:r>
        <w:rPr>
          <w:rFonts w:ascii="Arial" w:hAnsi="Arial"/>
          <w:sz w:val="20"/>
        </w:rPr>
        <w:t xml:space="preserve">: </w:t>
      </w:r>
      <w:r>
        <w:rPr>
          <w:rFonts w:ascii="Arial" w:hAnsi="Arial"/>
          <w:sz w:val="20"/>
          <w:lang w:val="en-US"/>
        </w:rPr>
        <w:t xml:space="preserve">heating-up of the </w:t>
      </w:r>
      <w:r w:rsidR="00D67538">
        <w:rPr>
          <w:rFonts w:ascii="Arial" w:hAnsi="Arial"/>
          <w:sz w:val="20"/>
          <w:lang w:val="en-US"/>
        </w:rPr>
        <w:t xml:space="preserve">fuel </w:t>
      </w:r>
      <w:r>
        <w:rPr>
          <w:rFonts w:ascii="Arial" w:hAnsi="Arial"/>
          <w:sz w:val="20"/>
          <w:lang w:val="en-US"/>
        </w:rPr>
        <w:t xml:space="preserve">assembly in steam-argon flow to maximum temperature of fuel rods </w:t>
      </w:r>
      <w:proofErr w:type="gramStart"/>
      <w:r>
        <w:rPr>
          <w:rFonts w:ascii="Arial" w:hAnsi="Arial"/>
          <w:sz w:val="20"/>
          <w:lang w:val="en-US"/>
        </w:rPr>
        <w:t>before</w:t>
      </w:r>
      <w:proofErr w:type="gramEnd"/>
      <w:r>
        <w:rPr>
          <w:rFonts w:ascii="Arial" w:hAnsi="Arial"/>
          <w:sz w:val="20"/>
          <w:lang w:val="en-US"/>
        </w:rPr>
        <w:t xml:space="preserve"> the beginning of flooding </w:t>
      </w:r>
      <w:r>
        <w:rPr>
          <w:rFonts w:ascii="Arial" w:hAnsi="Arial"/>
          <w:sz w:val="20"/>
          <w:lang w:val="en-US"/>
        </w:rPr>
        <w:sym w:font="Symbol" w:char="F07E"/>
      </w:r>
      <w:r>
        <w:rPr>
          <w:rFonts w:ascii="Arial" w:hAnsi="Arial"/>
          <w:sz w:val="20"/>
          <w:lang w:val="en-US"/>
        </w:rPr>
        <w:t>1450</w:t>
      </w:r>
      <w:r>
        <w:rPr>
          <w:rFonts w:ascii="Arial" w:hAnsi="Arial"/>
          <w:sz w:val="20"/>
          <w:lang w:val="en-US"/>
        </w:rPr>
        <w:sym w:font="Symbol" w:char="F0B0"/>
      </w:r>
      <w:r>
        <w:rPr>
          <w:rFonts w:ascii="Arial" w:hAnsi="Arial"/>
          <w:sz w:val="20"/>
          <w:lang w:val="en-US"/>
        </w:rPr>
        <w:t>C or above (</w:t>
      </w:r>
      <w:r>
        <w:rPr>
          <w:rFonts w:ascii="Arial" w:hAnsi="Arial"/>
          <w:sz w:val="20"/>
        </w:rPr>
        <w:t>PARAMETER</w:t>
      </w:r>
      <w:r>
        <w:rPr>
          <w:rFonts w:ascii="Arial" w:hAnsi="Arial"/>
          <w:sz w:val="20"/>
          <w:lang w:val="en-US"/>
        </w:rPr>
        <w:t>-SF6 test).</w:t>
      </w:r>
    </w:p>
    <w:p w:rsidR="00E07B8B" w:rsidRDefault="00E07B8B">
      <w:pPr>
        <w:jc w:val="both"/>
        <w:rPr>
          <w:rFonts w:ascii="Arial" w:hAnsi="Arial"/>
          <w:sz w:val="20"/>
        </w:rPr>
      </w:pPr>
      <w:r>
        <w:rPr>
          <w:rFonts w:ascii="Arial" w:hAnsi="Arial"/>
          <w:sz w:val="20"/>
          <w:lang w:val="en-US"/>
        </w:rPr>
        <w:t>In both experiments the top flooding water flow rate is 40g/s.</w:t>
      </w:r>
    </w:p>
    <w:p w:rsidR="00E07B8B" w:rsidRDefault="00E07B8B">
      <w:pPr>
        <w:jc w:val="both"/>
        <w:rPr>
          <w:rFonts w:ascii="Arial" w:hAnsi="Arial"/>
          <w:sz w:val="20"/>
          <w:lang w:val="en-US"/>
        </w:rPr>
      </w:pPr>
      <w:r>
        <w:rPr>
          <w:rFonts w:ascii="Arial" w:hAnsi="Arial"/>
          <w:sz w:val="20"/>
          <w:lang w:val="en-US"/>
        </w:rPr>
        <w:t xml:space="preserve">Following the experiments SF5 and SF6 the post-test material studies of model </w:t>
      </w:r>
      <w:r w:rsidR="00D67538">
        <w:rPr>
          <w:rFonts w:ascii="Arial" w:hAnsi="Arial"/>
          <w:sz w:val="20"/>
          <w:lang w:val="en-US"/>
        </w:rPr>
        <w:t xml:space="preserve">fuel </w:t>
      </w:r>
      <w:r>
        <w:rPr>
          <w:rFonts w:ascii="Arial" w:hAnsi="Arial"/>
          <w:sz w:val="20"/>
          <w:lang w:val="en-US"/>
        </w:rPr>
        <w:t xml:space="preserve">assemblies will be carried out as well as the processing of the experimental data </w:t>
      </w:r>
      <w:r w:rsidR="00D67538">
        <w:rPr>
          <w:rFonts w:ascii="Arial" w:hAnsi="Arial"/>
          <w:sz w:val="20"/>
          <w:lang w:val="en-US"/>
        </w:rPr>
        <w:t>with</w:t>
      </w:r>
      <w:r>
        <w:rPr>
          <w:rFonts w:ascii="Arial" w:hAnsi="Arial"/>
          <w:sz w:val="20"/>
          <w:lang w:val="en-US"/>
        </w:rPr>
        <w:t xml:space="preserve"> </w:t>
      </w:r>
      <w:r w:rsidR="00D67538">
        <w:rPr>
          <w:rFonts w:ascii="Arial" w:hAnsi="Arial"/>
          <w:sz w:val="20"/>
          <w:lang w:val="en-US"/>
        </w:rPr>
        <w:t xml:space="preserve">preparation </w:t>
      </w:r>
      <w:r>
        <w:rPr>
          <w:rFonts w:ascii="Arial" w:hAnsi="Arial"/>
          <w:sz w:val="20"/>
          <w:lang w:val="en-US"/>
        </w:rPr>
        <w:t>and issue of</w:t>
      </w:r>
      <w:r w:rsidR="00D67538">
        <w:rPr>
          <w:rFonts w:ascii="Arial" w:hAnsi="Arial"/>
          <w:sz w:val="20"/>
          <w:lang w:val="en-US"/>
        </w:rPr>
        <w:t xml:space="preserve"> the</w:t>
      </w:r>
      <w:r>
        <w:rPr>
          <w:rFonts w:ascii="Arial" w:hAnsi="Arial"/>
          <w:sz w:val="20"/>
          <w:lang w:val="en-US"/>
        </w:rPr>
        <w:t xml:space="preserve"> R&amp;D final report.</w:t>
      </w:r>
    </w:p>
    <w:p w:rsidR="00E07B8B" w:rsidRDefault="00E07B8B">
      <w:pPr>
        <w:rPr>
          <w:rFonts w:ascii="Arial" w:hAnsi="Arial" w:cs="Arial"/>
          <w:sz w:val="20"/>
        </w:rPr>
      </w:pPr>
      <w:r>
        <w:rPr>
          <w:rFonts w:ascii="Arial" w:hAnsi="Arial" w:cs="Arial"/>
          <w:sz w:val="20"/>
        </w:rPr>
        <w:t xml:space="preserve">The studies of AR behaviour under accident conditions shall include the following: </w:t>
      </w:r>
    </w:p>
    <w:p w:rsidR="00E07B8B" w:rsidRDefault="00E07B8B">
      <w:pPr>
        <w:numPr>
          <w:ilvl w:val="0"/>
          <w:numId w:val="1"/>
        </w:numPr>
        <w:ind w:left="284" w:hanging="284"/>
        <w:jc w:val="both"/>
        <w:rPr>
          <w:rFonts w:ascii="Arial" w:hAnsi="Arial" w:cs="Arial"/>
          <w:sz w:val="20"/>
        </w:rPr>
      </w:pPr>
      <w:r>
        <w:rPr>
          <w:rFonts w:ascii="Arial" w:hAnsi="Arial" w:cs="Arial"/>
          <w:sz w:val="20"/>
        </w:rPr>
        <w:t>study of AR thermo</w:t>
      </w:r>
      <w:r w:rsidR="00D67538">
        <w:rPr>
          <w:rFonts w:ascii="Arial" w:hAnsi="Arial" w:cs="Arial"/>
          <w:sz w:val="20"/>
        </w:rPr>
        <w:t>-</w:t>
      </w:r>
      <w:r>
        <w:rPr>
          <w:rFonts w:ascii="Arial" w:hAnsi="Arial" w:cs="Arial"/>
          <w:sz w:val="20"/>
        </w:rPr>
        <w:t>mechanical behaviour under tests of the model FA using different scenarios of DBA and BDBA;</w:t>
      </w:r>
    </w:p>
    <w:p w:rsidR="00E07B8B" w:rsidRDefault="00E07B8B">
      <w:pPr>
        <w:numPr>
          <w:ilvl w:val="0"/>
          <w:numId w:val="1"/>
        </w:numPr>
        <w:ind w:left="284" w:hanging="284"/>
        <w:jc w:val="both"/>
        <w:rPr>
          <w:rFonts w:ascii="Arial" w:hAnsi="Arial" w:cs="Arial"/>
          <w:sz w:val="20"/>
        </w:rPr>
      </w:pPr>
      <w:r>
        <w:rPr>
          <w:rFonts w:ascii="Arial" w:hAnsi="Arial" w:cs="Arial"/>
          <w:sz w:val="20"/>
        </w:rPr>
        <w:t xml:space="preserve">post-test material studies of FA and AR to determine (1) the degree of cladding oxidation over AR length; (2) the degree of eutectic melting of the cladding, guide tube and AR materials; (3) the composition of the solidified mixtures after flowing down as melt and formation of </w:t>
      </w:r>
      <w:proofErr w:type="gramStart"/>
      <w:r>
        <w:rPr>
          <w:rFonts w:ascii="Arial" w:hAnsi="Arial" w:cs="Arial"/>
          <w:sz w:val="20"/>
        </w:rPr>
        <w:t>solid</w:t>
      </w:r>
      <w:r w:rsidR="00D67538">
        <w:rPr>
          <w:rFonts w:ascii="Arial" w:hAnsi="Arial" w:cs="Arial"/>
          <w:sz w:val="20"/>
        </w:rPr>
        <w:t>ified</w:t>
      </w:r>
      <w:r>
        <w:rPr>
          <w:rFonts w:ascii="Arial" w:hAnsi="Arial" w:cs="Arial"/>
          <w:sz w:val="20"/>
        </w:rPr>
        <w:t xml:space="preserve">  structural</w:t>
      </w:r>
      <w:proofErr w:type="gramEnd"/>
      <w:r>
        <w:rPr>
          <w:rFonts w:ascii="Arial" w:hAnsi="Arial" w:cs="Arial"/>
          <w:sz w:val="20"/>
        </w:rPr>
        <w:t xml:space="preserve"> material</w:t>
      </w:r>
      <w:r w:rsidR="00D67538" w:rsidRPr="00D67538">
        <w:rPr>
          <w:rFonts w:ascii="Arial" w:hAnsi="Arial" w:cs="Arial"/>
          <w:sz w:val="20"/>
        </w:rPr>
        <w:t xml:space="preserve"> </w:t>
      </w:r>
      <w:r w:rsidR="00D67538">
        <w:rPr>
          <w:rFonts w:ascii="Arial" w:hAnsi="Arial" w:cs="Arial"/>
          <w:sz w:val="20"/>
        </w:rPr>
        <w:t>layers</w:t>
      </w:r>
      <w:r>
        <w:rPr>
          <w:rFonts w:ascii="Arial" w:hAnsi="Arial" w:cs="Arial"/>
          <w:sz w:val="20"/>
        </w:rPr>
        <w:t xml:space="preserve">; (4) the character of cooling of the model assembly with AR under top flooding. </w:t>
      </w:r>
    </w:p>
    <w:p w:rsidR="00E07B8B" w:rsidRDefault="00E07B8B">
      <w:pPr>
        <w:jc w:val="both"/>
        <w:rPr>
          <w:rFonts w:ascii="Arial" w:hAnsi="Arial"/>
          <w:sz w:val="20"/>
        </w:rPr>
      </w:pPr>
      <w:r>
        <w:rPr>
          <w:rFonts w:ascii="Arial" w:hAnsi="Arial"/>
          <w:sz w:val="20"/>
        </w:rPr>
        <w:t xml:space="preserve">These two experiments are counterpart tests to the experiments Phébus FPT3, QUENCH-07, QUENCH-09 and CORA-W2 as well as to some </w:t>
      </w:r>
      <w:r w:rsidR="00D67538">
        <w:rPr>
          <w:rFonts w:ascii="Arial" w:hAnsi="Arial"/>
          <w:sz w:val="20"/>
        </w:rPr>
        <w:t xml:space="preserve">extent </w:t>
      </w:r>
      <w:r>
        <w:rPr>
          <w:rFonts w:ascii="Arial" w:hAnsi="Arial"/>
          <w:sz w:val="20"/>
        </w:rPr>
        <w:t>to 6 CORA tests with BWR configuration. The behaviour of absorber material (AIC and B</w:t>
      </w:r>
      <w:r w:rsidRPr="00D67538">
        <w:rPr>
          <w:rFonts w:ascii="Arial" w:hAnsi="Arial"/>
          <w:sz w:val="20"/>
          <w:vertAlign w:val="subscript"/>
        </w:rPr>
        <w:t>4</w:t>
      </w:r>
      <w:r>
        <w:rPr>
          <w:rFonts w:ascii="Arial" w:hAnsi="Arial"/>
          <w:sz w:val="20"/>
        </w:rPr>
        <w:t xml:space="preserve">C) has not only a strong impact </w:t>
      </w:r>
      <w:r w:rsidR="00D67538">
        <w:rPr>
          <w:rFonts w:ascii="Arial" w:hAnsi="Arial"/>
          <w:sz w:val="20"/>
        </w:rPr>
        <w:t xml:space="preserve">on </w:t>
      </w:r>
      <w:r>
        <w:rPr>
          <w:rFonts w:ascii="Arial" w:hAnsi="Arial"/>
          <w:sz w:val="20"/>
        </w:rPr>
        <w:t xml:space="preserve">the bundle degradation but also </w:t>
      </w:r>
      <w:r w:rsidR="00D67538">
        <w:rPr>
          <w:rFonts w:ascii="Arial" w:hAnsi="Arial"/>
          <w:sz w:val="20"/>
        </w:rPr>
        <w:t xml:space="preserve">on </w:t>
      </w:r>
      <w:r>
        <w:rPr>
          <w:rFonts w:ascii="Arial" w:hAnsi="Arial"/>
          <w:sz w:val="20"/>
        </w:rPr>
        <w:t xml:space="preserve">chemical speciation of fission products. Therefore this issue is still rated by “Severe Accident Research Priorities Team” of SARNET to be of high priority considering the risk relevance regarding the source term and the lack of knowledge. </w:t>
      </w:r>
    </w:p>
    <w:p w:rsidR="00E07B8B" w:rsidRDefault="00E07B8B">
      <w:pPr>
        <w:tabs>
          <w:tab w:val="left" w:pos="1985"/>
        </w:tabs>
        <w:jc w:val="both"/>
        <w:rPr>
          <w:rFonts w:ascii="Arial" w:hAnsi="Arial"/>
          <w:sz w:val="20"/>
        </w:rPr>
      </w:pPr>
      <w:r>
        <w:rPr>
          <w:rFonts w:ascii="Arial" w:hAnsi="Arial"/>
          <w:sz w:val="20"/>
        </w:rPr>
        <w:t xml:space="preserve">* </w:t>
      </w:r>
      <w:r>
        <w:rPr>
          <w:rFonts w:ascii="Arial" w:hAnsi="Arial"/>
          <w:sz w:val="20"/>
          <w:u w:val="single"/>
        </w:rPr>
        <w:t>Recommendation:</w:t>
      </w:r>
      <w:r>
        <w:rPr>
          <w:rFonts w:ascii="Arial" w:hAnsi="Arial"/>
          <w:sz w:val="20"/>
        </w:rPr>
        <w:tab/>
        <w:t xml:space="preserve">The project is </w:t>
      </w:r>
      <w:r w:rsidR="00D67538">
        <w:rPr>
          <w:rFonts w:ascii="Arial" w:hAnsi="Arial"/>
          <w:sz w:val="20"/>
        </w:rPr>
        <w:t xml:space="preserve">well </w:t>
      </w:r>
      <w:r>
        <w:rPr>
          <w:rFonts w:ascii="Arial" w:hAnsi="Arial"/>
          <w:sz w:val="20"/>
        </w:rPr>
        <w:t>worth funding.</w:t>
      </w:r>
    </w:p>
    <w:p w:rsidR="00E07B8B" w:rsidRDefault="00E07B8B">
      <w:pPr>
        <w:tabs>
          <w:tab w:val="left" w:pos="1985"/>
        </w:tabs>
        <w:ind w:left="1980" w:hanging="1980"/>
        <w:jc w:val="both"/>
        <w:rPr>
          <w:rFonts w:ascii="Arial" w:hAnsi="Arial"/>
          <w:sz w:val="20"/>
        </w:rPr>
      </w:pPr>
      <w:r>
        <w:rPr>
          <w:rFonts w:ascii="Arial" w:hAnsi="Arial"/>
          <w:sz w:val="20"/>
        </w:rPr>
        <w:t xml:space="preserve">* </w:t>
      </w:r>
      <w:r>
        <w:rPr>
          <w:rFonts w:ascii="Arial" w:hAnsi="Arial"/>
          <w:sz w:val="20"/>
          <w:u w:val="single"/>
        </w:rPr>
        <w:t>Comments:</w:t>
      </w:r>
      <w:r>
        <w:rPr>
          <w:rFonts w:ascii="Arial" w:hAnsi="Arial"/>
          <w:sz w:val="20"/>
        </w:rPr>
        <w:tab/>
        <w:t>The project will have close links to the EU SARNET2 Network of Excellence (FP7) and to the German QUENCH and French BECARRE programme. It is recommended to gather information regarding the reaction products of B4C with steam by grab samples or if possible by continuous measurements.</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9000"/>
      </w:tblGrid>
      <w:tr w:rsidR="00E07B8B">
        <w:tblPrEx>
          <w:tblCellMar>
            <w:top w:w="0" w:type="dxa"/>
            <w:bottom w:w="0" w:type="dxa"/>
          </w:tblCellMar>
        </w:tblPrEx>
        <w:trPr>
          <w:trHeight w:val="301"/>
        </w:trPr>
        <w:tc>
          <w:tcPr>
            <w:tcW w:w="9000" w:type="dxa"/>
            <w:vAlign w:val="center"/>
          </w:tcPr>
          <w:p w:rsidR="00E07B8B" w:rsidRDefault="00E07B8B">
            <w:pPr>
              <w:pStyle w:val="Initial"/>
              <w:tabs>
                <w:tab w:val="left" w:pos="506"/>
              </w:tabs>
              <w:jc w:val="left"/>
              <w:rPr>
                <w:rStyle w:val="DefaultMargins"/>
                <w:rFonts w:ascii="Arial" w:hAnsi="Arial"/>
                <w:sz w:val="20"/>
                <w:lang w:val="en-GB"/>
              </w:rPr>
            </w:pPr>
            <w:r>
              <w:rPr>
                <w:rStyle w:val="DefaultMargins"/>
                <w:rFonts w:ascii="Arial" w:hAnsi="Arial"/>
                <w:sz w:val="20"/>
                <w:lang w:val="en-GB"/>
              </w:rPr>
              <w:t>Dissemination level : RE: restricted to EC, CEG-SAM members, ISTC and CIS beneficiaries</w:t>
            </w:r>
          </w:p>
        </w:tc>
      </w:tr>
    </w:tbl>
    <w:p w:rsidR="00E07B8B" w:rsidRDefault="00E07B8B"/>
    <w:sectPr w:rsidR="00E07B8B">
      <w:footerReference w:type="even" r:id="rId9"/>
      <w:footerReference w:type="default" r:id="rId10"/>
      <w:footerReference w:type="first" r:id="rId11"/>
      <w:pgSz w:w="11906" w:h="16838" w:code="9"/>
      <w:pgMar w:top="720" w:right="1418" w:bottom="680" w:left="1418"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E19" w:rsidRDefault="00080E19">
      <w:r>
        <w:separator/>
      </w:r>
    </w:p>
  </w:endnote>
  <w:endnote w:type="continuationSeparator" w:id="0">
    <w:p w:rsidR="00080E19" w:rsidRDefault="0008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B8B" w:rsidRDefault="00E07B8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E07B8B" w:rsidRDefault="00E07B8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B8B" w:rsidRDefault="00E07B8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F5DF5">
      <w:rPr>
        <w:rStyle w:val="Seitenzahl"/>
        <w:noProof/>
      </w:rPr>
      <w:t>2</w:t>
    </w:r>
    <w:r>
      <w:rPr>
        <w:rStyle w:val="Seitenzahl"/>
      </w:rPr>
      <w:fldChar w:fldCharType="end"/>
    </w:r>
  </w:p>
  <w:p w:rsidR="00E07B8B" w:rsidRDefault="00E07B8B">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B8B" w:rsidRDefault="002F5DF5">
    <w:pPr>
      <w:pStyle w:val="Fuzeile"/>
      <w:rPr>
        <w:rFonts w:ascii="Arial" w:hAnsi="Arial"/>
        <w:sz w:val="18"/>
      </w:rPr>
    </w:pPr>
    <w:r>
      <w:rPr>
        <w:rFonts w:ascii="Arial" w:hAnsi="Arial"/>
        <w:sz w:val="18"/>
      </w:rPr>
      <w:t>6</w:t>
    </w:r>
    <w:r w:rsidR="00E07B8B">
      <w:rPr>
        <w:rFonts w:ascii="Arial" w:hAnsi="Arial"/>
        <w:sz w:val="18"/>
        <w:vertAlign w:val="superscript"/>
      </w:rPr>
      <w:t>th</w:t>
    </w:r>
    <w:r w:rsidR="00E07B8B">
      <w:rPr>
        <w:rFonts w:ascii="Arial" w:hAnsi="Arial"/>
        <w:sz w:val="18"/>
      </w:rPr>
      <w:t xml:space="preserve"> </w:t>
    </w:r>
    <w:r>
      <w:rPr>
        <w:rFonts w:ascii="Arial" w:hAnsi="Arial"/>
        <w:sz w:val="18"/>
      </w:rPr>
      <w:t>April</w:t>
    </w:r>
    <w:r w:rsidR="00E07B8B">
      <w:rPr>
        <w:rFonts w:ascii="Arial" w:hAnsi="Arial"/>
        <w:sz w:val="18"/>
      </w:rPr>
      <w:t xml:space="preserve"> 2009</w:t>
    </w:r>
    <w:r w:rsidR="00E07B8B">
      <w:rPr>
        <w:rFonts w:ascii="Arial" w:hAnsi="Arial"/>
        <w:sz w:val="18"/>
      </w:rPr>
      <w:tab/>
    </w:r>
    <w:r w:rsidR="00E07B8B">
      <w:rPr>
        <w:rFonts w:ascii="Arial" w:hAnsi="Arial"/>
        <w:sz w:val="18"/>
      </w:rPr>
      <w:tab/>
      <w:t>CEG-SAM / A-20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E19" w:rsidRDefault="00080E19">
      <w:r>
        <w:separator/>
      </w:r>
    </w:p>
  </w:footnote>
  <w:footnote w:type="continuationSeparator" w:id="0">
    <w:p w:rsidR="00080E19" w:rsidRDefault="00080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1A1C"/>
    <w:multiLevelType w:val="singleLevel"/>
    <w:tmpl w:val="A5146E04"/>
    <w:lvl w:ilvl="0">
      <w:start w:val="1"/>
      <w:numFmt w:val="none"/>
      <w:lvlText w:val="-"/>
      <w:legacy w:legacy="1" w:legacySpace="120" w:legacyIndent="284"/>
      <w:lvlJc w:val="left"/>
      <w:pPr>
        <w:ind w:left="624" w:hanging="284"/>
      </w:pPr>
    </w:lvl>
  </w:abstractNum>
  <w:abstractNum w:abstractNumId="1">
    <w:nsid w:val="117B61A1"/>
    <w:multiLevelType w:val="singleLevel"/>
    <w:tmpl w:val="3DEC1B2A"/>
    <w:lvl w:ilvl="0">
      <w:start w:val="1"/>
      <w:numFmt w:val="none"/>
      <w:lvlText w:val=""/>
      <w:legacy w:legacy="1" w:legacySpace="120" w:legacyIndent="340"/>
      <w:lvlJc w:val="left"/>
      <w:pPr>
        <w:ind w:left="340" w:hanging="340"/>
      </w:pPr>
      <w:rPr>
        <w:rFonts w:ascii="Symbol" w:hAnsi="Symbol" w:hint="default"/>
      </w:rPr>
    </w:lvl>
  </w:abstractNum>
  <w:abstractNum w:abstractNumId="2">
    <w:nsid w:val="15C3105A"/>
    <w:multiLevelType w:val="singleLevel"/>
    <w:tmpl w:val="A5146E04"/>
    <w:lvl w:ilvl="0">
      <w:start w:val="1"/>
      <w:numFmt w:val="none"/>
      <w:lvlText w:val="-"/>
      <w:legacy w:legacy="1" w:legacySpace="120" w:legacyIndent="284"/>
      <w:lvlJc w:val="left"/>
      <w:pPr>
        <w:ind w:left="624" w:hanging="284"/>
      </w:pPr>
    </w:lvl>
  </w:abstractNum>
  <w:abstractNum w:abstractNumId="3">
    <w:nsid w:val="36F506D7"/>
    <w:multiLevelType w:val="singleLevel"/>
    <w:tmpl w:val="A5146E04"/>
    <w:lvl w:ilvl="0">
      <w:start w:val="1"/>
      <w:numFmt w:val="none"/>
      <w:lvlText w:val="-"/>
      <w:legacy w:legacy="1" w:legacySpace="120" w:legacyIndent="284"/>
      <w:lvlJc w:val="left"/>
      <w:pPr>
        <w:ind w:left="624" w:hanging="284"/>
      </w:pPr>
    </w:lvl>
  </w:abstractNum>
  <w:abstractNum w:abstractNumId="4">
    <w:nsid w:val="44065963"/>
    <w:multiLevelType w:val="singleLevel"/>
    <w:tmpl w:val="3DEC1B2A"/>
    <w:lvl w:ilvl="0">
      <w:start w:val="1"/>
      <w:numFmt w:val="none"/>
      <w:lvlText w:val=""/>
      <w:legacy w:legacy="1" w:legacySpace="120" w:legacyIndent="340"/>
      <w:lvlJc w:val="left"/>
      <w:pPr>
        <w:ind w:left="340" w:hanging="340"/>
      </w:pPr>
      <w:rPr>
        <w:rFonts w:ascii="Symbol" w:hAnsi="Symbol" w:hint="default"/>
      </w:rPr>
    </w:lvl>
  </w:abstractNum>
  <w:abstractNum w:abstractNumId="5">
    <w:nsid w:val="6BC112BE"/>
    <w:multiLevelType w:val="hybridMultilevel"/>
    <w:tmpl w:val="58B220C2"/>
    <w:lvl w:ilvl="0">
      <w:start w:val="1"/>
      <w:numFmt w:val="bullet"/>
      <w:lvlText w:val=""/>
      <w:legacy w:legacy="1" w:legacySpace="0" w:legacyIndent="283"/>
      <w:lvlJc w:val="left"/>
      <w:pPr>
        <w:ind w:left="567" w:hanging="28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FB01139"/>
    <w:multiLevelType w:val="singleLevel"/>
    <w:tmpl w:val="A5146E04"/>
    <w:lvl w:ilvl="0">
      <w:start w:val="1"/>
      <w:numFmt w:val="none"/>
      <w:lvlText w:val="-"/>
      <w:legacy w:legacy="1" w:legacySpace="120" w:legacyIndent="284"/>
      <w:lvlJc w:val="left"/>
      <w:pPr>
        <w:ind w:left="624" w:hanging="284"/>
      </w:pPr>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538"/>
    <w:rsid w:val="00080E19"/>
    <w:rsid w:val="00255CD4"/>
    <w:rsid w:val="00266CFA"/>
    <w:rsid w:val="0029219E"/>
    <w:rsid w:val="002F5DF5"/>
    <w:rsid w:val="0053798D"/>
    <w:rsid w:val="0076448A"/>
    <w:rsid w:val="008060DF"/>
    <w:rsid w:val="0082122E"/>
    <w:rsid w:val="00D4110D"/>
    <w:rsid w:val="00D67538"/>
    <w:rsid w:val="00E07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072D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Com">
    <w:name w:val="Z_Com"/>
    <w:basedOn w:val="Standard"/>
    <w:next w:val="ZDGName"/>
    <w:pPr>
      <w:ind w:right="85"/>
      <w:jc w:val="both"/>
    </w:pPr>
    <w:rPr>
      <w:rFonts w:ascii="Arial" w:hAnsi="Arial"/>
    </w:rPr>
  </w:style>
  <w:style w:type="paragraph" w:customStyle="1" w:styleId="ZDGName">
    <w:name w:val="Z_DGName"/>
    <w:basedOn w:val="Standard"/>
    <w:pPr>
      <w:ind w:right="85"/>
      <w:jc w:val="both"/>
    </w:pPr>
    <w:rPr>
      <w:rFonts w:ascii="Arial" w:hAnsi="Arial"/>
      <w:sz w:val="1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Initial">
    <w:name w:val="Initial"/>
    <w:pPr>
      <w:tabs>
        <w:tab w:val="left" w:pos="-720"/>
      </w:tabs>
      <w:suppressAutoHyphens/>
      <w:jc w:val="both"/>
    </w:pPr>
    <w:rPr>
      <w:spacing w:val="-3"/>
      <w:sz w:val="24"/>
      <w:lang w:val="en-US"/>
    </w:rPr>
  </w:style>
  <w:style w:type="character" w:customStyle="1" w:styleId="DefaultMargins">
    <w:name w:val="DefaultMargins"/>
    <w:rPr>
      <w:rFonts w:ascii="CG Times" w:hAnsi="CG Times"/>
      <w:noProof w:val="0"/>
      <w:sz w:val="24"/>
      <w:lang w:val="en-US"/>
    </w:rPr>
  </w:style>
  <w:style w:type="paragraph" w:styleId="Textkrper-Einzug2">
    <w:name w:val="Body Text Indent 2"/>
    <w:basedOn w:val="Standard"/>
    <w:pPr>
      <w:ind w:left="2160" w:hanging="2160"/>
      <w:jc w:val="both"/>
    </w:pPr>
    <w:rPr>
      <w:rFonts w:ascii="Arial" w:hAnsi="Arial"/>
      <w:sz w:val="22"/>
    </w:rPr>
  </w:style>
  <w:style w:type="paragraph" w:styleId="Kopfzeile">
    <w:name w:val="header"/>
    <w:basedOn w:val="Standard"/>
    <w:pPr>
      <w:tabs>
        <w:tab w:val="center" w:pos="4536"/>
        <w:tab w:val="right" w:pos="9072"/>
      </w:tabs>
    </w:pPr>
  </w:style>
  <w:style w:type="paragraph" w:customStyle="1" w:styleId="Sprechblasentext1">
    <w:name w:val="Sprechblasentext1"/>
    <w:basedOn w:val="Standard"/>
    <w:semiHidden/>
    <w:rPr>
      <w:rFonts w:ascii="Tahoma" w:hAnsi="Tahoma" w:cs="Tahoma"/>
      <w:sz w:val="16"/>
      <w:szCs w:val="16"/>
    </w:rPr>
  </w:style>
  <w:style w:type="paragraph" w:customStyle="1" w:styleId="Sprechblasentext2">
    <w:name w:val="Sprechblasentext2"/>
    <w:basedOn w:val="Standard"/>
    <w:semiHidden/>
    <w:rPr>
      <w:rFonts w:ascii="Tahoma" w:hAnsi="Tahoma" w:cs="Tahoma"/>
      <w:sz w:val="16"/>
      <w:szCs w:val="16"/>
    </w:rPr>
  </w:style>
  <w:style w:type="paragraph" w:styleId="Sprechblasentext">
    <w:name w:val="Balloon Text"/>
    <w:basedOn w:val="Standard"/>
    <w:link w:val="SprechblasentextZchn"/>
    <w:rsid w:val="00266CFA"/>
    <w:rPr>
      <w:rFonts w:ascii="Tahoma" w:hAnsi="Tahoma" w:cs="Tahoma"/>
      <w:sz w:val="16"/>
      <w:szCs w:val="16"/>
    </w:rPr>
  </w:style>
  <w:style w:type="character" w:customStyle="1" w:styleId="SprechblasentextZchn">
    <w:name w:val="Sprechblasentext Zchn"/>
    <w:link w:val="Sprechblasentext"/>
    <w:rsid w:val="00266CF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3439</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cp:lastPrinted>2009-03-19T15:06:00Z</cp:lastPrinted>
  <dcterms:created xsi:type="dcterms:W3CDTF">2012-10-15T11:34:00Z</dcterms:created>
  <dcterms:modified xsi:type="dcterms:W3CDTF">2012-10-15T11:34:00Z</dcterms:modified>
</cp:coreProperties>
</file>