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508"/>
        <w:gridCol w:w="3759"/>
        <w:gridCol w:w="3134"/>
      </w:tblGrid>
      <w:tr w:rsidR="000465F2">
        <w:tblPrEx>
          <w:tblCellMar>
            <w:top w:w="0" w:type="dxa"/>
            <w:bottom w:w="0" w:type="dxa"/>
          </w:tblCellMar>
        </w:tblPrEx>
        <w:trPr>
          <w:trHeight w:val="1080"/>
        </w:trPr>
        <w:tc>
          <w:tcPr>
            <w:tcW w:w="9401" w:type="dxa"/>
            <w:gridSpan w:val="3"/>
          </w:tcPr>
          <w:p w:rsidR="000465F2" w:rsidRDefault="000465F2" w:rsidP="000465F2">
            <w:pPr>
              <w:pStyle w:val="Cover1"/>
            </w:pPr>
            <w:bookmarkStart w:id="0" w:name="_GoBack"/>
            <w:bookmarkEnd w:id="0"/>
            <w:r>
              <w:t>ISTC Project No. 2936</w:t>
            </w:r>
          </w:p>
        </w:tc>
      </w:tr>
      <w:tr w:rsidR="000465F2">
        <w:tblPrEx>
          <w:tblCellMar>
            <w:top w:w="0" w:type="dxa"/>
            <w:bottom w:w="0" w:type="dxa"/>
          </w:tblCellMar>
        </w:tblPrEx>
        <w:trPr>
          <w:trHeight w:val="3058"/>
        </w:trPr>
        <w:tc>
          <w:tcPr>
            <w:tcW w:w="9401" w:type="dxa"/>
            <w:gridSpan w:val="3"/>
          </w:tcPr>
          <w:p w:rsidR="000465F2" w:rsidRDefault="000465F2" w:rsidP="000465F2">
            <w:pPr>
              <w:pStyle w:val="Cover1"/>
            </w:pPr>
            <w:r w:rsidRPr="000E447D">
              <w:rPr>
                <w:szCs w:val="32"/>
                <w:lang w:val="en-US"/>
              </w:rPr>
              <w:t>Modelling of Reactor Core Behaviour under Severe Accident Conditions. Melt formation, relocation and evolution of molten pool</w:t>
            </w:r>
          </w:p>
        </w:tc>
      </w:tr>
      <w:tr w:rsidR="000465F2">
        <w:tblPrEx>
          <w:tblCellMar>
            <w:top w:w="0" w:type="dxa"/>
            <w:bottom w:w="0" w:type="dxa"/>
          </w:tblCellMar>
        </w:tblPrEx>
        <w:trPr>
          <w:trHeight w:val="555"/>
        </w:trPr>
        <w:tc>
          <w:tcPr>
            <w:tcW w:w="9401" w:type="dxa"/>
            <w:gridSpan w:val="3"/>
          </w:tcPr>
          <w:p w:rsidR="000465F2" w:rsidRDefault="000465F2" w:rsidP="000465F2">
            <w:pPr>
              <w:pStyle w:val="Cover1"/>
            </w:pPr>
            <w:r>
              <w:t>Summary of Technical Report</w:t>
            </w:r>
          </w:p>
        </w:tc>
      </w:tr>
      <w:tr w:rsidR="000465F2">
        <w:tblPrEx>
          <w:tblCellMar>
            <w:top w:w="0" w:type="dxa"/>
            <w:bottom w:w="0" w:type="dxa"/>
          </w:tblCellMar>
        </w:tblPrEx>
        <w:trPr>
          <w:cantSplit/>
          <w:trHeight w:val="3056"/>
        </w:trPr>
        <w:tc>
          <w:tcPr>
            <w:tcW w:w="9401" w:type="dxa"/>
            <w:gridSpan w:val="3"/>
            <w:tcBorders>
              <w:bottom w:val="single" w:sz="24" w:space="0" w:color="auto"/>
            </w:tcBorders>
          </w:tcPr>
          <w:p w:rsidR="000465F2" w:rsidRDefault="000465F2" w:rsidP="000465F2">
            <w:pPr>
              <w:pStyle w:val="Cover2"/>
              <w:jc w:val="center"/>
            </w:pPr>
            <w:r>
              <w:t xml:space="preserve">on the work performed from </w:t>
            </w:r>
            <w:smartTag w:uri="urn:schemas-microsoft-com:office:smarttags" w:element="date">
              <w:smartTagPr>
                <w:attr w:name="Month" w:val="8"/>
                <w:attr w:name="Day" w:val="1"/>
                <w:attr w:name="Year" w:val="2004"/>
              </w:smartTagPr>
              <w:r>
                <w:t>August 1, 200</w:t>
              </w:r>
              <w:r>
                <w:rPr>
                  <w:lang w:val="ru-RU"/>
                </w:rPr>
                <w:t>4</w:t>
              </w:r>
            </w:smartTag>
            <w:r>
              <w:t xml:space="preserve"> to </w:t>
            </w:r>
            <w:smartTag w:uri="urn:schemas-microsoft-com:office:smarttags" w:element="date">
              <w:smartTagPr>
                <w:attr w:name="Month" w:val="7"/>
                <w:attr w:name="Day" w:val="31"/>
                <w:attr w:name="Year" w:val="2007"/>
              </w:smartTagPr>
              <w:r>
                <w:t>July 31, 200</w:t>
              </w:r>
              <w:r>
                <w:rPr>
                  <w:lang w:val="ru-RU"/>
                </w:rPr>
                <w:t>7</w:t>
              </w:r>
            </w:smartTag>
          </w:p>
        </w:tc>
      </w:tr>
      <w:tr w:rsidR="000465F2">
        <w:tblPrEx>
          <w:tblCellMar>
            <w:top w:w="0" w:type="dxa"/>
            <w:bottom w:w="0" w:type="dxa"/>
          </w:tblCellMar>
        </w:tblPrEx>
        <w:trPr>
          <w:cantSplit/>
          <w:trHeight w:val="1195"/>
        </w:trPr>
        <w:tc>
          <w:tcPr>
            <w:tcW w:w="9401" w:type="dxa"/>
            <w:gridSpan w:val="3"/>
            <w:tcBorders>
              <w:top w:val="single" w:sz="24" w:space="0" w:color="auto"/>
              <w:left w:val="single" w:sz="24" w:space="0" w:color="auto"/>
              <w:bottom w:val="single" w:sz="24" w:space="0" w:color="auto"/>
              <w:right w:val="single" w:sz="24" w:space="0" w:color="auto"/>
            </w:tcBorders>
            <w:vAlign w:val="center"/>
          </w:tcPr>
          <w:p w:rsidR="000465F2" w:rsidRDefault="000465F2" w:rsidP="000465F2">
            <w:pPr>
              <w:pStyle w:val="Cover2"/>
              <w:jc w:val="center"/>
              <w:rPr>
                <w:sz w:val="32"/>
              </w:rPr>
            </w:pPr>
            <w:r>
              <w:rPr>
                <w:sz w:val="32"/>
              </w:rPr>
              <w:t>Authorized for unrestricted publication</w:t>
            </w:r>
          </w:p>
        </w:tc>
      </w:tr>
      <w:tr w:rsidR="000465F2">
        <w:tblPrEx>
          <w:tblCellMar>
            <w:top w:w="0" w:type="dxa"/>
            <w:bottom w:w="0" w:type="dxa"/>
          </w:tblCellMar>
        </w:tblPrEx>
        <w:trPr>
          <w:cantSplit/>
          <w:trHeight w:val="477"/>
        </w:trPr>
        <w:tc>
          <w:tcPr>
            <w:tcW w:w="9401" w:type="dxa"/>
            <w:gridSpan w:val="3"/>
            <w:tcBorders>
              <w:top w:val="single" w:sz="24" w:space="0" w:color="auto"/>
            </w:tcBorders>
          </w:tcPr>
          <w:p w:rsidR="000465F2" w:rsidRDefault="000465F2" w:rsidP="000465F2">
            <w:pPr>
              <w:pStyle w:val="Cover2"/>
              <w:jc w:val="center"/>
            </w:pPr>
          </w:p>
        </w:tc>
      </w:tr>
      <w:tr w:rsidR="000465F2" w:rsidRPr="00B918DE">
        <w:tblPrEx>
          <w:tblCellMar>
            <w:top w:w="0" w:type="dxa"/>
            <w:bottom w:w="0" w:type="dxa"/>
          </w:tblCellMar>
        </w:tblPrEx>
        <w:trPr>
          <w:trHeight w:val="717"/>
        </w:trPr>
        <w:tc>
          <w:tcPr>
            <w:tcW w:w="9401" w:type="dxa"/>
            <w:gridSpan w:val="3"/>
          </w:tcPr>
          <w:p w:rsidR="000465F2" w:rsidRPr="00B918DE" w:rsidRDefault="000465F2" w:rsidP="000465F2">
            <w:pPr>
              <w:rPr>
                <w:b/>
              </w:rPr>
            </w:pPr>
            <w:r w:rsidRPr="00B918DE">
              <w:rPr>
                <w:b/>
                <w:szCs w:val="28"/>
              </w:rPr>
              <w:t xml:space="preserve">Nuclear Safety Institute of </w:t>
            </w:r>
            <w:smartTag w:uri="urn:schemas-microsoft-com:office:smarttags" w:element="place">
              <w:smartTag w:uri="urn:schemas-microsoft-com:office:smarttags" w:element="PlaceName">
                <w:r w:rsidRPr="00B918DE">
                  <w:rPr>
                    <w:b/>
                    <w:szCs w:val="28"/>
                  </w:rPr>
                  <w:t>Russian</w:t>
                </w:r>
              </w:smartTag>
              <w:r w:rsidRPr="00B918DE">
                <w:rPr>
                  <w:b/>
                  <w:szCs w:val="28"/>
                </w:rPr>
                <w:t xml:space="preserve"> </w:t>
              </w:r>
              <w:smartTag w:uri="urn:schemas-microsoft-com:office:smarttags" w:element="PlaceType">
                <w:r w:rsidRPr="00B918DE">
                  <w:rPr>
                    <w:b/>
                    <w:szCs w:val="28"/>
                  </w:rPr>
                  <w:t>Academy</w:t>
                </w:r>
              </w:smartTag>
            </w:smartTag>
            <w:r w:rsidRPr="00B918DE">
              <w:rPr>
                <w:b/>
                <w:szCs w:val="28"/>
              </w:rPr>
              <w:t xml:space="preserve"> of Science (IBRAE)</w:t>
            </w:r>
          </w:p>
        </w:tc>
      </w:tr>
      <w:tr w:rsidR="000465F2" w:rsidRPr="00074C16">
        <w:tblPrEx>
          <w:tblCellMar>
            <w:top w:w="0" w:type="dxa"/>
            <w:bottom w:w="0" w:type="dxa"/>
          </w:tblCellMar>
        </w:tblPrEx>
        <w:trPr>
          <w:trHeight w:val="1000"/>
        </w:trPr>
        <w:tc>
          <w:tcPr>
            <w:tcW w:w="2508" w:type="dxa"/>
            <w:vAlign w:val="bottom"/>
          </w:tcPr>
          <w:p w:rsidR="000465F2" w:rsidRDefault="000465F2" w:rsidP="000465F2">
            <w:pPr>
              <w:pStyle w:val="Cover2"/>
              <w:rPr>
                <w:szCs w:val="28"/>
              </w:rPr>
            </w:pPr>
            <w:r>
              <w:rPr>
                <w:szCs w:val="28"/>
              </w:rPr>
              <w:t>Project Manager</w:t>
            </w:r>
          </w:p>
          <w:p w:rsidR="000465F2" w:rsidRDefault="000465F2" w:rsidP="000465F2">
            <w:pPr>
              <w:pStyle w:val="Cover2"/>
            </w:pPr>
          </w:p>
        </w:tc>
        <w:tc>
          <w:tcPr>
            <w:tcW w:w="3759" w:type="dxa"/>
            <w:vAlign w:val="bottom"/>
          </w:tcPr>
          <w:p w:rsidR="000465F2" w:rsidRPr="00074C16" w:rsidRDefault="000465F2" w:rsidP="000465F2">
            <w:pPr>
              <w:pStyle w:val="Cover2"/>
              <w:rPr>
                <w:szCs w:val="28"/>
                <w:lang w:val="de-DE"/>
              </w:rPr>
            </w:pPr>
            <w:r w:rsidRPr="00074C16">
              <w:rPr>
                <w:szCs w:val="28"/>
                <w:lang w:val="de-DE"/>
              </w:rPr>
              <w:t xml:space="preserve">Mikhail S. Veshchunov </w:t>
            </w:r>
          </w:p>
          <w:p w:rsidR="000465F2" w:rsidRPr="00074C16" w:rsidRDefault="000465F2" w:rsidP="000465F2">
            <w:pPr>
              <w:pStyle w:val="Cover2"/>
              <w:rPr>
                <w:lang w:val="de-DE"/>
              </w:rPr>
            </w:pPr>
            <w:r w:rsidRPr="00074C16">
              <w:rPr>
                <w:sz w:val="24"/>
                <w:lang w:val="de-DE"/>
              </w:rPr>
              <w:t>Dr., Professor</w:t>
            </w:r>
          </w:p>
        </w:tc>
        <w:tc>
          <w:tcPr>
            <w:tcW w:w="3134" w:type="dxa"/>
            <w:tcBorders>
              <w:bottom w:val="single" w:sz="4" w:space="0" w:color="auto"/>
            </w:tcBorders>
            <w:vAlign w:val="bottom"/>
          </w:tcPr>
          <w:p w:rsidR="000465F2" w:rsidRPr="00074C16" w:rsidRDefault="000465F2" w:rsidP="000465F2">
            <w:pPr>
              <w:pStyle w:val="Cover2"/>
              <w:rPr>
                <w:lang w:val="de-DE"/>
              </w:rPr>
            </w:pPr>
          </w:p>
        </w:tc>
      </w:tr>
      <w:tr w:rsidR="000465F2">
        <w:tblPrEx>
          <w:tblCellMar>
            <w:top w:w="0" w:type="dxa"/>
            <w:bottom w:w="0" w:type="dxa"/>
          </w:tblCellMar>
        </w:tblPrEx>
        <w:trPr>
          <w:trHeight w:val="1108"/>
        </w:trPr>
        <w:tc>
          <w:tcPr>
            <w:tcW w:w="2508" w:type="dxa"/>
            <w:vAlign w:val="bottom"/>
          </w:tcPr>
          <w:p w:rsidR="000465F2" w:rsidRDefault="000465F2" w:rsidP="000465F2">
            <w:pPr>
              <w:pStyle w:val="Cover2"/>
              <w:rPr>
                <w:szCs w:val="28"/>
              </w:rPr>
            </w:pPr>
            <w:r>
              <w:rPr>
                <w:szCs w:val="28"/>
              </w:rPr>
              <w:t>Director</w:t>
            </w:r>
          </w:p>
          <w:p w:rsidR="000465F2" w:rsidRDefault="000465F2" w:rsidP="000465F2">
            <w:pPr>
              <w:pStyle w:val="Cover2"/>
            </w:pPr>
          </w:p>
        </w:tc>
        <w:tc>
          <w:tcPr>
            <w:tcW w:w="3759" w:type="dxa"/>
            <w:vAlign w:val="bottom"/>
          </w:tcPr>
          <w:p w:rsidR="000465F2" w:rsidRPr="000E447D" w:rsidRDefault="000465F2" w:rsidP="000465F2">
            <w:pPr>
              <w:pStyle w:val="Cover2"/>
              <w:rPr>
                <w:szCs w:val="28"/>
              </w:rPr>
            </w:pPr>
            <w:r w:rsidRPr="000E447D">
              <w:rPr>
                <w:szCs w:val="28"/>
              </w:rPr>
              <w:t xml:space="preserve">Leonid A. Bolshov </w:t>
            </w:r>
          </w:p>
          <w:p w:rsidR="000465F2" w:rsidRDefault="000465F2" w:rsidP="000465F2">
            <w:pPr>
              <w:pStyle w:val="Cover2"/>
            </w:pPr>
            <w:r w:rsidRPr="000E447D">
              <w:rPr>
                <w:sz w:val="24"/>
              </w:rPr>
              <w:t>Dr., Professor</w:t>
            </w:r>
          </w:p>
        </w:tc>
        <w:tc>
          <w:tcPr>
            <w:tcW w:w="3134" w:type="dxa"/>
            <w:tcBorders>
              <w:top w:val="single" w:sz="4" w:space="0" w:color="auto"/>
              <w:bottom w:val="single" w:sz="4" w:space="0" w:color="auto"/>
            </w:tcBorders>
            <w:vAlign w:val="bottom"/>
          </w:tcPr>
          <w:p w:rsidR="000465F2" w:rsidRDefault="000465F2" w:rsidP="000465F2">
            <w:pPr>
              <w:pStyle w:val="Cover2"/>
              <w:rPr>
                <w:lang w:val="en-GB"/>
              </w:rPr>
            </w:pPr>
          </w:p>
        </w:tc>
      </w:tr>
    </w:tbl>
    <w:p w:rsidR="000465F2" w:rsidRDefault="000465F2" w:rsidP="000465F2">
      <w:pPr>
        <w:rPr>
          <w:lang w:val="en-GB"/>
        </w:rPr>
      </w:pPr>
    </w:p>
    <w:p w:rsidR="000465F2" w:rsidRDefault="000465F2">
      <w:pPr>
        <w:rPr>
          <w:lang w:val="en-GB"/>
        </w:rPr>
      </w:pPr>
    </w:p>
    <w:tbl>
      <w:tblPr>
        <w:tblW w:w="0" w:type="auto"/>
        <w:tblCellMar>
          <w:top w:w="113" w:type="dxa"/>
          <w:bottom w:w="113" w:type="dxa"/>
        </w:tblCellMar>
        <w:tblLook w:val="0000" w:firstRow="0" w:lastRow="0" w:firstColumn="0" w:lastColumn="0" w:noHBand="0" w:noVBand="0"/>
      </w:tblPr>
      <w:tblGrid>
        <w:gridCol w:w="2268"/>
        <w:gridCol w:w="7133"/>
      </w:tblGrid>
      <w:tr w:rsidR="000465F2">
        <w:tc>
          <w:tcPr>
            <w:tcW w:w="2268" w:type="dxa"/>
          </w:tcPr>
          <w:p w:rsidR="000465F2" w:rsidRDefault="000465F2" w:rsidP="000465F2">
            <w:pPr>
              <w:rPr>
                <w:lang w:val="en-GB"/>
              </w:rPr>
            </w:pPr>
            <w:r>
              <w:lastRenderedPageBreak/>
              <w:t>Project number:</w:t>
            </w:r>
          </w:p>
        </w:tc>
        <w:tc>
          <w:tcPr>
            <w:tcW w:w="7133" w:type="dxa"/>
          </w:tcPr>
          <w:p w:rsidR="000465F2" w:rsidRDefault="000465F2" w:rsidP="000465F2">
            <w:pPr>
              <w:pStyle w:val="Kopfzeile"/>
              <w:tabs>
                <w:tab w:val="clear" w:pos="4844"/>
                <w:tab w:val="clear" w:pos="9689"/>
              </w:tabs>
              <w:rPr>
                <w:lang w:val="en-GB"/>
              </w:rPr>
            </w:pPr>
            <w:r>
              <w:rPr>
                <w:lang w:val="en-GB"/>
              </w:rPr>
              <w:t>2936</w:t>
            </w:r>
          </w:p>
        </w:tc>
      </w:tr>
      <w:tr w:rsidR="000465F2">
        <w:tc>
          <w:tcPr>
            <w:tcW w:w="2268" w:type="dxa"/>
          </w:tcPr>
          <w:p w:rsidR="000465F2" w:rsidRDefault="000465F2" w:rsidP="000465F2">
            <w:pPr>
              <w:rPr>
                <w:lang w:val="en-GB"/>
              </w:rPr>
            </w:pPr>
            <w:r>
              <w:t>Title of the Project:</w:t>
            </w:r>
          </w:p>
        </w:tc>
        <w:tc>
          <w:tcPr>
            <w:tcW w:w="7133" w:type="dxa"/>
          </w:tcPr>
          <w:p w:rsidR="000465F2" w:rsidRDefault="000465F2" w:rsidP="000465F2">
            <w:pPr>
              <w:rPr>
                <w:lang w:val="en-GB"/>
              </w:rPr>
            </w:pPr>
            <w:r w:rsidRPr="000E447D">
              <w:t>Modelling of Reactor Core Behaviour under Severe Accident Conditions. Melt formation, relocation and evolution of molten pool</w:t>
            </w:r>
          </w:p>
        </w:tc>
      </w:tr>
      <w:tr w:rsidR="000465F2">
        <w:tc>
          <w:tcPr>
            <w:tcW w:w="2268" w:type="dxa"/>
          </w:tcPr>
          <w:p w:rsidR="000465F2" w:rsidRDefault="000465F2" w:rsidP="000465F2">
            <w:pPr>
              <w:rPr>
                <w:lang w:val="en-GB"/>
              </w:rPr>
            </w:pPr>
            <w:r>
              <w:t>Date of publishing:</w:t>
            </w:r>
          </w:p>
        </w:tc>
        <w:tc>
          <w:tcPr>
            <w:tcW w:w="7133" w:type="dxa"/>
          </w:tcPr>
          <w:p w:rsidR="000465F2" w:rsidRDefault="000465F2" w:rsidP="000465F2">
            <w:pPr>
              <w:pStyle w:val="Kopfzeile"/>
              <w:tabs>
                <w:tab w:val="clear" w:pos="4844"/>
                <w:tab w:val="clear" w:pos="9689"/>
              </w:tabs>
              <w:rPr>
                <w:lang w:val="en-GB"/>
              </w:rPr>
            </w:pPr>
            <w:r>
              <w:rPr>
                <w:lang w:val="en-GB"/>
              </w:rPr>
              <w:t>January 2007</w:t>
            </w:r>
          </w:p>
        </w:tc>
      </w:tr>
    </w:tbl>
    <w:p w:rsidR="000465F2" w:rsidRDefault="000465F2" w:rsidP="000465F2">
      <w:pPr>
        <w:pStyle w:val="Punkt1"/>
        <w:numPr>
          <w:ilvl w:val="0"/>
          <w:numId w:val="1072"/>
        </w:numPr>
        <w:jc w:val="both"/>
        <w:rPr>
          <w:sz w:val="24"/>
          <w:lang w:val="en-US"/>
        </w:rPr>
      </w:pPr>
    </w:p>
    <w:p w:rsidR="000465F2" w:rsidRDefault="000465F2" w:rsidP="000465F2">
      <w:pPr>
        <w:pStyle w:val="Kopfzeile"/>
        <w:tabs>
          <w:tab w:val="clear" w:pos="4844"/>
          <w:tab w:val="clear" w:pos="9689"/>
        </w:tabs>
        <w:rPr>
          <w:lang w:val="en-GB"/>
        </w:rPr>
      </w:pPr>
    </w:p>
    <w:p w:rsidR="000465F2" w:rsidRDefault="000465F2" w:rsidP="000465F2">
      <w:pPr>
        <w:rPr>
          <w:lang w:val="en-GB"/>
        </w:rPr>
      </w:pPr>
    </w:p>
    <w:p w:rsidR="000465F2" w:rsidRDefault="000465F2" w:rsidP="000465F2">
      <w:pPr>
        <w:pStyle w:val="berschrift1"/>
        <w:numPr>
          <w:ilvl w:val="0"/>
          <w:numId w:val="0"/>
        </w:numPr>
        <w:rPr>
          <w:sz w:val="24"/>
        </w:rPr>
      </w:pPr>
      <w:r>
        <w:rPr>
          <w:sz w:val="24"/>
        </w:rPr>
        <w:t>Objectives / scope of work and technical approach / expected results</w:t>
      </w:r>
    </w:p>
    <w:p w:rsidR="000465F2" w:rsidRDefault="000465F2" w:rsidP="000465F2"/>
    <w:p w:rsidR="000465F2" w:rsidRPr="008420B0" w:rsidRDefault="000465F2" w:rsidP="000465F2">
      <w:r w:rsidRPr="008420B0">
        <w:t>Processes of reactor core degradation represent the most significant factor of severe accident development since they provide the initial conditions for ex-vessel phenomena and determine the fission product and hydrogen source term. The investigation of in-vessel melt behaviour is of paramount importance with respect to reactor materials oxidation kinetics, possible reflooding of the core and reactor pressure vessel failure analysis.</w:t>
      </w:r>
    </w:p>
    <w:p w:rsidR="000465F2" w:rsidRPr="008420B0" w:rsidRDefault="000465F2" w:rsidP="000465F2">
      <w:pPr>
        <w:widowControl w:val="0"/>
        <w:autoSpaceDE w:val="0"/>
        <w:autoSpaceDN w:val="0"/>
        <w:adjustRightInd w:val="0"/>
        <w:spacing w:after="120"/>
        <w:jc w:val="both"/>
      </w:pPr>
      <w:r w:rsidRPr="008420B0">
        <w:t>The general objective of the proposed project is to perform the detailed analysis of the available and new experimental data, to update, improve and verify the developed models and to prepare them for benchmarking of simplified models and for implementation in the existing system codes. Thus the proposed project will contribute to the reactor core degradation modelling.</w:t>
      </w:r>
    </w:p>
    <w:p w:rsidR="000465F2" w:rsidRDefault="000465F2" w:rsidP="000465F2"/>
    <w:p w:rsidR="000465F2" w:rsidRDefault="000465F2" w:rsidP="000465F2">
      <w:pPr>
        <w:pStyle w:val="berschrift1"/>
        <w:numPr>
          <w:ilvl w:val="0"/>
          <w:numId w:val="0"/>
        </w:numPr>
        <w:rPr>
          <w:sz w:val="24"/>
        </w:rPr>
      </w:pPr>
      <w:r>
        <w:rPr>
          <w:sz w:val="24"/>
        </w:rPr>
        <w:t>Obtained results</w:t>
      </w:r>
    </w:p>
    <w:p w:rsidR="000465F2" w:rsidRDefault="000465F2" w:rsidP="000465F2">
      <w:pPr>
        <w:pStyle w:val="berschrift3"/>
        <w:rPr>
          <w:lang w:val="en-GB"/>
        </w:rPr>
      </w:pPr>
    </w:p>
    <w:p w:rsidR="000465F2" w:rsidRPr="008361FE" w:rsidRDefault="000465F2" w:rsidP="00B22038">
      <w:pPr>
        <w:numPr>
          <w:ilvl w:val="0"/>
          <w:numId w:val="5"/>
        </w:numPr>
        <w:jc w:val="both"/>
        <w:rPr>
          <w:lang w:val="en-GB"/>
        </w:rPr>
      </w:pPr>
      <w:r w:rsidRPr="008361FE">
        <w:rPr>
          <w:lang w:val="en-GB"/>
        </w:rPr>
        <w:t xml:space="preserve">The model </w:t>
      </w:r>
      <w:r w:rsidR="00B22038" w:rsidRPr="000465F2">
        <w:rPr>
          <w:lang w:val="en-GB"/>
        </w:rPr>
        <w:t>for dissolution of ZrO</w:t>
      </w:r>
      <w:r w:rsidR="00B22038" w:rsidRPr="000465F2">
        <w:rPr>
          <w:vertAlign w:val="subscript"/>
          <w:lang w:val="en-GB"/>
        </w:rPr>
        <w:t>2</w:t>
      </w:r>
      <w:r w:rsidR="00B22038" w:rsidRPr="000465F2">
        <w:rPr>
          <w:lang w:val="en-GB"/>
        </w:rPr>
        <w:t xml:space="preserve"> and UO</w:t>
      </w:r>
      <w:r w:rsidR="00B22038" w:rsidRPr="000465F2">
        <w:rPr>
          <w:vertAlign w:val="subscript"/>
          <w:lang w:val="en-GB"/>
        </w:rPr>
        <w:t>2</w:t>
      </w:r>
      <w:r w:rsidR="00B22038" w:rsidRPr="000465F2">
        <w:rPr>
          <w:lang w:val="en-GB"/>
        </w:rPr>
        <w:t xml:space="preserve"> by molten Zircaloy, U-Zr-O melt oxidation and release from the cladding breach</w:t>
      </w:r>
      <w:r w:rsidR="00B22038" w:rsidRPr="008361FE">
        <w:rPr>
          <w:lang w:val="en-GB"/>
        </w:rPr>
        <w:t xml:space="preserve"> </w:t>
      </w:r>
      <w:r w:rsidR="00B22038">
        <w:rPr>
          <w:lang w:val="en-GB"/>
        </w:rPr>
        <w:t>w</w:t>
      </w:r>
      <w:r w:rsidR="00B22038">
        <w:t>ere</w:t>
      </w:r>
      <w:r w:rsidRPr="008361FE">
        <w:rPr>
          <w:lang w:val="en-GB"/>
        </w:rPr>
        <w:t xml:space="preserve"> </w:t>
      </w:r>
      <w:r w:rsidR="00B22038">
        <w:rPr>
          <w:lang w:val="en-GB"/>
        </w:rPr>
        <w:t xml:space="preserve">developed </w:t>
      </w:r>
      <w:r w:rsidRPr="008361FE">
        <w:rPr>
          <w:lang w:val="en-GB"/>
        </w:rPr>
        <w:t>on the base of the new crucible tests data from FZK collaborators. On the base of newly developed models, new numerical modules were developed and implemented in the SVECHA code with tight coupling of these modules with other SVECHA modules describing heat exchange, cladding oxidation and thermo-mechanical deformation.</w:t>
      </w:r>
      <w:r w:rsidR="00B22038">
        <w:rPr>
          <w:lang w:val="en-GB"/>
        </w:rPr>
        <w:t xml:space="preserve"> </w:t>
      </w:r>
      <w:r w:rsidRPr="008361FE">
        <w:rPr>
          <w:lang w:val="en-GB"/>
        </w:rPr>
        <w:t>The model for dissolution of ZrO</w:t>
      </w:r>
      <w:r w:rsidRPr="008361FE">
        <w:rPr>
          <w:vertAlign w:val="subscript"/>
          <w:lang w:val="en-GB"/>
        </w:rPr>
        <w:t>2</w:t>
      </w:r>
      <w:r w:rsidRPr="008361FE">
        <w:rPr>
          <w:lang w:val="en-GB"/>
        </w:rPr>
        <w:t xml:space="preserve"> and UO</w:t>
      </w:r>
      <w:r w:rsidRPr="008361FE">
        <w:rPr>
          <w:vertAlign w:val="subscript"/>
          <w:lang w:val="en-GB"/>
        </w:rPr>
        <w:t>2</w:t>
      </w:r>
      <w:r w:rsidRPr="008361FE">
        <w:rPr>
          <w:lang w:val="en-GB"/>
        </w:rPr>
        <w:t xml:space="preserve"> by molten Zircaloy and U-Zr-O me</w:t>
      </w:r>
      <w:r>
        <w:rPr>
          <w:lang w:val="en-GB"/>
        </w:rPr>
        <w:t>lt oxidation was extended to no</w:t>
      </w:r>
      <w:r w:rsidRPr="008361FE">
        <w:rPr>
          <w:lang w:val="en-GB"/>
        </w:rPr>
        <w:t>n-equilibrium conditions and validated against FZK crucible tests data. The modified SVECHA code was applied to interpretation of corium melt behaviour in the in-pile tests Phebus FP, in cooperation with collaborators from JRC, IRSN and CEA.</w:t>
      </w:r>
    </w:p>
    <w:p w:rsidR="000465F2" w:rsidRDefault="000465F2" w:rsidP="00B22038">
      <w:pPr>
        <w:pStyle w:val="berschrift1"/>
        <w:numPr>
          <w:ilvl w:val="0"/>
          <w:numId w:val="4"/>
        </w:numPr>
        <w:jc w:val="both"/>
        <w:rPr>
          <w:b w:val="0"/>
          <w:bCs/>
          <w:sz w:val="24"/>
          <w:szCs w:val="24"/>
          <w:lang w:val="en-GB"/>
        </w:rPr>
      </w:pPr>
      <w:r w:rsidRPr="00597BF6">
        <w:rPr>
          <w:b w:val="0"/>
          <w:sz w:val="24"/>
          <w:szCs w:val="24"/>
          <w:lang w:val="en-GB"/>
        </w:rPr>
        <w:t xml:space="preserve">The physical model and numerical module on melt relocation in the form of drops and rivulets were developed and implemented in the SVECHA code. </w:t>
      </w:r>
      <w:r w:rsidRPr="00597BF6">
        <w:rPr>
          <w:b w:val="0"/>
          <w:bCs/>
          <w:sz w:val="24"/>
          <w:szCs w:val="24"/>
          <w:lang w:val="en-GB"/>
        </w:rPr>
        <w:t>The new numerical module was implemented in the code as a subroutine of the massive blockage (slu</w:t>
      </w:r>
      <w:r>
        <w:rPr>
          <w:b w:val="0"/>
          <w:bCs/>
          <w:sz w:val="24"/>
          <w:szCs w:val="24"/>
          <w:lang w:val="en-GB"/>
        </w:rPr>
        <w:t>g) relocation model</w:t>
      </w:r>
      <w:r w:rsidRPr="00597BF6">
        <w:rPr>
          <w:b w:val="0"/>
          <w:bCs/>
          <w:sz w:val="24"/>
          <w:szCs w:val="24"/>
          <w:lang w:val="en-GB"/>
        </w:rPr>
        <w:t xml:space="preserve">. </w:t>
      </w:r>
    </w:p>
    <w:p w:rsidR="000465F2" w:rsidRPr="000465F2" w:rsidRDefault="000465F2" w:rsidP="00B22038">
      <w:pPr>
        <w:numPr>
          <w:ilvl w:val="0"/>
          <w:numId w:val="6"/>
        </w:numPr>
        <w:jc w:val="both"/>
        <w:rPr>
          <w:bCs/>
          <w:lang w:val="en-GB"/>
        </w:rPr>
      </w:pPr>
      <w:r w:rsidRPr="000465F2">
        <w:rPr>
          <w:lang w:val="en-GB"/>
        </w:rPr>
        <w:t xml:space="preserve">The physical model and numerical module on melt relocation in the form of </w:t>
      </w:r>
      <w:r w:rsidR="00B22038">
        <w:rPr>
          <w:lang w:val="en-GB"/>
        </w:rPr>
        <w:t>massive blockage (slug)</w:t>
      </w:r>
      <w:r w:rsidRPr="000465F2">
        <w:rPr>
          <w:lang w:val="en-GB"/>
        </w:rPr>
        <w:t xml:space="preserve"> were developed.</w:t>
      </w:r>
      <w:r w:rsidR="00B22038">
        <w:rPr>
          <w:lang w:val="en-GB"/>
        </w:rPr>
        <w:t xml:space="preserve"> </w:t>
      </w:r>
      <w:r w:rsidRPr="000465F2">
        <w:rPr>
          <w:bCs/>
          <w:lang w:val="en-GB"/>
        </w:rPr>
        <w:t xml:space="preserve">The new numerical module was implemented in the </w:t>
      </w:r>
      <w:r w:rsidRPr="000465F2">
        <w:rPr>
          <w:lang w:val="en-GB"/>
        </w:rPr>
        <w:t xml:space="preserve">SVECHA </w:t>
      </w:r>
      <w:r w:rsidRPr="000465F2">
        <w:rPr>
          <w:bCs/>
          <w:lang w:val="en-GB"/>
        </w:rPr>
        <w:t xml:space="preserve">code. </w:t>
      </w:r>
      <w:r w:rsidRPr="000465F2">
        <w:rPr>
          <w:lang w:val="en-GB"/>
        </w:rPr>
        <w:t xml:space="preserve">Tight coupling of this module with other SVECHA modules describing candling, heat exchange, cladding oxidation, thermo-mechanical deformation was organised. </w:t>
      </w:r>
    </w:p>
    <w:p w:rsidR="00B22038" w:rsidRDefault="00B22038" w:rsidP="00B22038">
      <w:pPr>
        <w:numPr>
          <w:ilvl w:val="0"/>
          <w:numId w:val="6"/>
        </w:numPr>
        <w:jc w:val="both"/>
        <w:rPr>
          <w:bCs/>
          <w:lang w:val="en-GB"/>
        </w:rPr>
      </w:pPr>
      <w:r>
        <w:rPr>
          <w:lang w:val="en-GB"/>
        </w:rPr>
        <w:t xml:space="preserve">Analysis of </w:t>
      </w:r>
      <w:r w:rsidRPr="008361FE">
        <w:rPr>
          <w:lang w:val="en-GB"/>
        </w:rPr>
        <w:t xml:space="preserve">the </w:t>
      </w:r>
      <w:r>
        <w:rPr>
          <w:lang w:val="en-GB"/>
        </w:rPr>
        <w:t xml:space="preserve">new </w:t>
      </w:r>
      <w:r w:rsidRPr="008361FE">
        <w:rPr>
          <w:lang w:val="en-GB"/>
        </w:rPr>
        <w:t>ITU tests on irradiated and MOX fuel dissolution by molten Zr and U-Zr-O melting points determination</w:t>
      </w:r>
      <w:r>
        <w:rPr>
          <w:lang w:val="en-GB"/>
        </w:rPr>
        <w:t xml:space="preserve"> was carried out</w:t>
      </w:r>
      <w:r w:rsidRPr="008361FE">
        <w:rPr>
          <w:lang w:val="en-GB"/>
        </w:rPr>
        <w:t>.</w:t>
      </w:r>
      <w:r>
        <w:rPr>
          <w:lang w:val="en-GB"/>
        </w:rPr>
        <w:t xml:space="preserve"> </w:t>
      </w:r>
      <w:r>
        <w:rPr>
          <w:bCs/>
          <w:lang w:val="en-GB"/>
        </w:rPr>
        <w:t xml:space="preserve">On the base of the tests analysis, correction of the fuel dissolution model for irradiated and MOX fuel was implemented.  </w:t>
      </w:r>
      <w:r>
        <w:t xml:space="preserve">The ternary </w:t>
      </w:r>
      <w:r w:rsidRPr="00627C49">
        <w:t>U</w:t>
      </w:r>
      <w:r w:rsidRPr="00627C49">
        <w:rPr>
          <w:lang w:val="ru-RU"/>
        </w:rPr>
        <w:t>-</w:t>
      </w:r>
      <w:r w:rsidRPr="00627C49">
        <w:t>Zr</w:t>
      </w:r>
      <w:r w:rsidRPr="00627C49">
        <w:rPr>
          <w:lang w:val="ru-RU"/>
        </w:rPr>
        <w:t>-</w:t>
      </w:r>
      <w:r w:rsidRPr="00627C49">
        <w:t>O</w:t>
      </w:r>
      <w:r>
        <w:t xml:space="preserve"> phase diagram which is a part of the melt physico-chemical interactions model is improved using the new tests data on </w:t>
      </w:r>
      <w:r w:rsidRPr="008361FE">
        <w:rPr>
          <w:lang w:val="en-GB"/>
        </w:rPr>
        <w:t>U-Zr-O melting points determination</w:t>
      </w:r>
      <w:r>
        <w:rPr>
          <w:lang w:val="en-GB"/>
        </w:rPr>
        <w:t>.</w:t>
      </w:r>
    </w:p>
    <w:p w:rsidR="000465F2" w:rsidRPr="00597BF6" w:rsidRDefault="000465F2" w:rsidP="00B22038">
      <w:pPr>
        <w:numPr>
          <w:ilvl w:val="0"/>
          <w:numId w:val="4"/>
        </w:numPr>
        <w:jc w:val="both"/>
      </w:pPr>
      <w:r w:rsidRPr="00597BF6">
        <w:lastRenderedPageBreak/>
        <w:t>The developed SVECHA</w:t>
      </w:r>
      <w:r w:rsidRPr="00597BF6">
        <w:rPr>
          <w:lang w:val="ru-RU"/>
        </w:rPr>
        <w:t>/</w:t>
      </w:r>
      <w:r w:rsidRPr="00597BF6">
        <w:t xml:space="preserve">MELT code includes </w:t>
      </w:r>
      <w:r w:rsidR="00B22038">
        <w:t>the new</w:t>
      </w:r>
      <w:r w:rsidRPr="00597BF6">
        <w:t xml:space="preserve"> models developed in </w:t>
      </w:r>
      <w:r w:rsidR="00B22038">
        <w:t>the Project</w:t>
      </w:r>
      <w:r w:rsidRPr="00597BF6">
        <w:t xml:space="preserve"> and describes a complicated process of molten corium relocation under severe accident conditions at NPP. </w:t>
      </w:r>
      <w:r w:rsidRPr="00597BF6">
        <w:rPr>
          <w:bCs/>
        </w:rPr>
        <w:t xml:space="preserve">The code </w:t>
      </w:r>
      <w:r w:rsidRPr="00597BF6">
        <w:t>SVECHA</w:t>
      </w:r>
      <w:r w:rsidRPr="00597BF6">
        <w:rPr>
          <w:lang w:val="ru-RU"/>
        </w:rPr>
        <w:t>/</w:t>
      </w:r>
      <w:r w:rsidRPr="00597BF6">
        <w:t>MELT was validated against integral bu</w:t>
      </w:r>
      <w:r>
        <w:t>n</w:t>
      </w:r>
      <w:r w:rsidRPr="00597BF6">
        <w:t xml:space="preserve">dle tests </w:t>
      </w:r>
      <w:r w:rsidRPr="00597BF6">
        <w:rPr>
          <w:snapToGrid w:val="0"/>
        </w:rPr>
        <w:t>CORA</w:t>
      </w:r>
      <w:r w:rsidRPr="00597BF6">
        <w:rPr>
          <w:snapToGrid w:val="0"/>
          <w:lang w:val="ru-RU"/>
        </w:rPr>
        <w:t>-</w:t>
      </w:r>
      <w:r w:rsidR="00B22038">
        <w:rPr>
          <w:snapToGrid w:val="0"/>
        </w:rPr>
        <w:t>WWER (</w:t>
      </w:r>
      <w:r w:rsidRPr="00597BF6">
        <w:rPr>
          <w:snapToGrid w:val="0"/>
        </w:rPr>
        <w:t>FZK</w:t>
      </w:r>
      <w:r w:rsidR="00B22038">
        <w:rPr>
          <w:snapToGrid w:val="0"/>
        </w:rPr>
        <w:t>)</w:t>
      </w:r>
      <w:r w:rsidRPr="00597BF6">
        <w:rPr>
          <w:snapToGrid w:val="0"/>
        </w:rPr>
        <w:t xml:space="preserve">. </w:t>
      </w:r>
    </w:p>
    <w:p w:rsidR="000465F2" w:rsidRPr="00597BF6" w:rsidRDefault="000465F2" w:rsidP="000465F2">
      <w:pPr>
        <w:numPr>
          <w:ilvl w:val="0"/>
          <w:numId w:val="4"/>
        </w:numPr>
      </w:pPr>
      <w:r w:rsidRPr="00597BF6">
        <w:rPr>
          <w:snapToGrid w:val="0"/>
        </w:rPr>
        <w:t xml:space="preserve">The new modules for melt relocation and </w:t>
      </w:r>
      <w:r w:rsidRPr="00597BF6">
        <w:t xml:space="preserve">physico-chemical </w:t>
      </w:r>
      <w:r w:rsidRPr="00597BF6">
        <w:rPr>
          <w:snapToGrid w:val="0"/>
        </w:rPr>
        <w:t xml:space="preserve">interactions are prepared for implementation </w:t>
      </w:r>
      <w:r w:rsidRPr="00597BF6">
        <w:rPr>
          <w:lang w:val="en-GB"/>
        </w:rPr>
        <w:t>in the system codes such as ICARE/CATHARE, MELCOR, or ASTEC.</w:t>
      </w:r>
    </w:p>
    <w:p w:rsidR="002730DF" w:rsidRPr="006A5C5E" w:rsidRDefault="002730DF" w:rsidP="002730DF">
      <w:pPr>
        <w:pStyle w:val="berschrift4"/>
        <w:numPr>
          <w:ilvl w:val="0"/>
          <w:numId w:val="4"/>
        </w:numPr>
        <w:spacing w:after="60"/>
        <w:rPr>
          <w:b w:val="0"/>
          <w:sz w:val="22"/>
          <w:szCs w:val="22"/>
        </w:rPr>
      </w:pPr>
      <w:r w:rsidRPr="006A5C5E">
        <w:rPr>
          <w:b w:val="0"/>
          <w:sz w:val="22"/>
          <w:szCs w:val="22"/>
        </w:rPr>
        <w:t xml:space="preserve">The previously developed three-dimensional CONV code for simulation of three-dimensional flows in the Boussinesq approximation on Cartesian grids with a local refinement near domain with singularities of flows was supplemented model for calculation of flows with a variable density without Boussinesq approximation. </w:t>
      </w:r>
    </w:p>
    <w:p w:rsidR="002730DF" w:rsidRPr="006A5C5E" w:rsidRDefault="002730DF" w:rsidP="002730DF">
      <w:pPr>
        <w:pStyle w:val="berschrift4"/>
        <w:numPr>
          <w:ilvl w:val="0"/>
          <w:numId w:val="4"/>
        </w:numPr>
        <w:spacing w:after="60"/>
        <w:rPr>
          <w:b w:val="0"/>
          <w:bCs/>
          <w:sz w:val="22"/>
          <w:szCs w:val="22"/>
        </w:rPr>
      </w:pPr>
      <w:r w:rsidRPr="006A5C5E">
        <w:rPr>
          <w:b w:val="0"/>
          <w:bCs/>
          <w:color w:val="000000"/>
          <w:sz w:val="22"/>
          <w:szCs w:val="22"/>
        </w:rPr>
        <w:t xml:space="preserve">Model for numerical simulation of melt flows </w:t>
      </w:r>
      <w:r w:rsidRPr="006A5C5E">
        <w:rPr>
          <w:rFonts w:cs="Times New Roman CYR"/>
          <w:b w:val="0"/>
          <w:bCs/>
          <w:color w:val="000000"/>
          <w:sz w:val="22"/>
          <w:szCs w:val="22"/>
        </w:rPr>
        <w:t xml:space="preserve">simultaneously with heat transfer in the reactor case and crust formation at high </w:t>
      </w:r>
      <w:r w:rsidRPr="006A5C5E">
        <w:rPr>
          <w:b w:val="0"/>
          <w:sz w:val="22"/>
          <w:szCs w:val="22"/>
        </w:rPr>
        <w:t>Rayleigh numbers was d</w:t>
      </w:r>
      <w:r w:rsidRPr="006A5C5E">
        <w:rPr>
          <w:rFonts w:cs="Times New Roman CYR"/>
          <w:b w:val="0"/>
          <w:bCs/>
          <w:color w:val="000000"/>
          <w:sz w:val="22"/>
          <w:szCs w:val="22"/>
        </w:rPr>
        <w:t xml:space="preserve">eveloped and implemented in code. For the modeling of turbulence implemented algebraic turbulent models and direct numerical simulation were used. A computing technique of modeling of turbulence was validated on results of problems with lid-driven flows and flow in tube. In all cases the good coincidence of numerical results to the reference data is marked. </w:t>
      </w:r>
    </w:p>
    <w:p w:rsidR="002730DF" w:rsidRPr="006A5C5E" w:rsidRDefault="002730DF" w:rsidP="002730DF">
      <w:pPr>
        <w:pStyle w:val="berschrift4"/>
        <w:numPr>
          <w:ilvl w:val="0"/>
          <w:numId w:val="4"/>
        </w:numPr>
        <w:spacing w:after="60"/>
        <w:rPr>
          <w:b w:val="0"/>
          <w:sz w:val="22"/>
          <w:szCs w:val="22"/>
        </w:rPr>
      </w:pPr>
      <w:r w:rsidRPr="006A5C5E">
        <w:rPr>
          <w:b w:val="0"/>
          <w:color w:val="000000"/>
          <w:sz w:val="22"/>
          <w:szCs w:val="22"/>
        </w:rPr>
        <w:t xml:space="preserve">On the basis of the modified CONV version the simulation of molten-salt tests obtained on RASPLAV facility was carried out. The obtained results demonstrate, that the developed approach predicts correctly the absolute values of crust thickness. </w:t>
      </w:r>
    </w:p>
    <w:p w:rsidR="002730DF" w:rsidRPr="006A5C5E" w:rsidRDefault="002730DF" w:rsidP="002730DF">
      <w:pPr>
        <w:pStyle w:val="berschrift4"/>
        <w:numPr>
          <w:ilvl w:val="0"/>
          <w:numId w:val="4"/>
        </w:numPr>
        <w:spacing w:after="60"/>
        <w:rPr>
          <w:rFonts w:cs="Times New Roman CYR"/>
          <w:b w:val="0"/>
          <w:sz w:val="22"/>
          <w:szCs w:val="22"/>
        </w:rPr>
      </w:pPr>
      <w:r w:rsidRPr="006A5C5E">
        <w:rPr>
          <w:rFonts w:cs="Times New Roman CYR"/>
          <w:b w:val="0"/>
          <w:sz w:val="22"/>
          <w:szCs w:val="22"/>
          <w:lang w:val="en-GB"/>
        </w:rPr>
        <w:t xml:space="preserve">On the base of the </w:t>
      </w:r>
      <w:r w:rsidRPr="006A5C5E">
        <w:rPr>
          <w:rFonts w:cs="Times New Roman CYR"/>
          <w:b w:val="0"/>
          <w:sz w:val="22"/>
          <w:szCs w:val="22"/>
        </w:rPr>
        <w:t xml:space="preserve">carried out numerical researches and adaptation </w:t>
      </w:r>
      <w:r w:rsidRPr="006A5C5E">
        <w:rPr>
          <w:b w:val="0"/>
          <w:sz w:val="22"/>
          <w:szCs w:val="22"/>
        </w:rPr>
        <w:t xml:space="preserve">of </w:t>
      </w:r>
      <w:r w:rsidRPr="006A5C5E">
        <w:rPr>
          <w:rFonts w:cs="Times New Roman CYR"/>
          <w:b w:val="0"/>
          <w:sz w:val="22"/>
          <w:szCs w:val="22"/>
        </w:rPr>
        <w:t xml:space="preserve">previously developed software, more perfect version of a code permitting </w:t>
      </w:r>
      <w:r w:rsidRPr="006A5C5E">
        <w:rPr>
          <w:b w:val="0"/>
          <w:sz w:val="22"/>
          <w:szCs w:val="22"/>
        </w:rPr>
        <w:t xml:space="preserve">of calculation </w:t>
      </w:r>
      <w:r w:rsidRPr="006A5C5E">
        <w:rPr>
          <w:rFonts w:cs="Times New Roman CYR"/>
          <w:b w:val="0"/>
          <w:sz w:val="22"/>
          <w:szCs w:val="22"/>
        </w:rPr>
        <w:t>of three-dimensional flows with variable properties, appropriate to real corium properties or prototypes was obtained.</w:t>
      </w:r>
    </w:p>
    <w:p w:rsidR="002730DF" w:rsidRPr="006A5C5E" w:rsidRDefault="002730DF" w:rsidP="002730DF">
      <w:pPr>
        <w:pStyle w:val="berschrift4"/>
        <w:numPr>
          <w:ilvl w:val="0"/>
          <w:numId w:val="4"/>
        </w:numPr>
        <w:spacing w:after="60"/>
        <w:rPr>
          <w:b w:val="0"/>
          <w:sz w:val="22"/>
          <w:szCs w:val="22"/>
        </w:rPr>
      </w:pPr>
      <w:r w:rsidRPr="006A5C5E">
        <w:rPr>
          <w:b w:val="0"/>
          <w:bCs/>
          <w:color w:val="000000"/>
          <w:sz w:val="22"/>
          <w:szCs w:val="22"/>
        </w:rPr>
        <w:t xml:space="preserve">Matrix of validation for </w:t>
      </w:r>
      <w:r w:rsidRPr="006A5C5E">
        <w:rPr>
          <w:rFonts w:cs="Times New Roman CYR"/>
          <w:b w:val="0"/>
          <w:bCs/>
          <w:color w:val="000000"/>
          <w:sz w:val="22"/>
          <w:szCs w:val="22"/>
        </w:rPr>
        <w:t xml:space="preserve">developed models was created, including as results of the theoretical analysis and experimental data </w:t>
      </w:r>
      <w:r w:rsidRPr="006A5C5E">
        <w:rPr>
          <w:b w:val="0"/>
          <w:sz w:val="22"/>
          <w:szCs w:val="22"/>
        </w:rPr>
        <w:t>(</w:t>
      </w:r>
      <w:smartTag w:uri="urn:schemas-microsoft-com:office:smarttags" w:element="place">
        <w:r w:rsidRPr="006A5C5E">
          <w:rPr>
            <w:b w:val="0"/>
            <w:sz w:val="22"/>
            <w:szCs w:val="22"/>
          </w:rPr>
          <w:t>BALI</w:t>
        </w:r>
      </w:smartTag>
      <w:r w:rsidRPr="006A5C5E">
        <w:rPr>
          <w:b w:val="0"/>
          <w:sz w:val="22"/>
          <w:szCs w:val="22"/>
        </w:rPr>
        <w:t>, COPO and SIMECO)</w:t>
      </w:r>
      <w:r w:rsidRPr="006A5C5E">
        <w:rPr>
          <w:rFonts w:cs="Times New Roman CYR"/>
          <w:b w:val="0"/>
          <w:bCs/>
          <w:color w:val="000000"/>
          <w:sz w:val="22"/>
          <w:szCs w:val="22"/>
        </w:rPr>
        <w:t xml:space="preserve"> for convection of a heat-generating fluid. </w:t>
      </w:r>
    </w:p>
    <w:p w:rsidR="002730DF" w:rsidRPr="006A5C5E" w:rsidRDefault="002730DF" w:rsidP="002730DF">
      <w:pPr>
        <w:pStyle w:val="berschrift4"/>
        <w:numPr>
          <w:ilvl w:val="0"/>
          <w:numId w:val="4"/>
        </w:numPr>
        <w:spacing w:after="60"/>
        <w:rPr>
          <w:b w:val="0"/>
          <w:sz w:val="22"/>
          <w:szCs w:val="22"/>
        </w:rPr>
      </w:pPr>
      <w:r w:rsidRPr="006A5C5E">
        <w:rPr>
          <w:rFonts w:cs="Times New Roman CYR"/>
          <w:b w:val="0"/>
          <w:bCs/>
          <w:color w:val="000000"/>
          <w:sz w:val="22"/>
          <w:szCs w:val="22"/>
        </w:rPr>
        <w:t>The preliminary numerical simulation of circular heat used in experimental facility LIVE was carried out by means of CONV code which was validated and adapted to conditions of project.</w:t>
      </w:r>
      <w:r w:rsidRPr="006A5C5E">
        <w:rPr>
          <w:b w:val="0"/>
          <w:sz w:val="22"/>
          <w:szCs w:val="22"/>
        </w:rPr>
        <w:t xml:space="preserve"> </w:t>
      </w:r>
    </w:p>
    <w:p w:rsidR="000465F2" w:rsidRDefault="000465F2" w:rsidP="000465F2">
      <w:pPr>
        <w:tabs>
          <w:tab w:val="left" w:pos="1608"/>
        </w:tabs>
      </w:pPr>
    </w:p>
    <w:p w:rsidR="000465F2" w:rsidRDefault="000465F2" w:rsidP="000465F2"/>
    <w:p w:rsidR="000465F2" w:rsidRDefault="000465F2" w:rsidP="000465F2">
      <w:pPr>
        <w:pStyle w:val="berschrift1"/>
        <w:numPr>
          <w:ilvl w:val="0"/>
          <w:numId w:val="0"/>
        </w:numPr>
        <w:rPr>
          <w:sz w:val="24"/>
        </w:rPr>
      </w:pPr>
      <w:r>
        <w:rPr>
          <w:sz w:val="24"/>
        </w:rPr>
        <w:t xml:space="preserve">Keywords: </w:t>
      </w:r>
      <w:r w:rsidRPr="00FE6CDD">
        <w:rPr>
          <w:b w:val="0"/>
          <w:sz w:val="24"/>
        </w:rPr>
        <w:t xml:space="preserve">core degradation, melt formation, </w:t>
      </w:r>
      <w:r>
        <w:rPr>
          <w:b w:val="0"/>
          <w:sz w:val="24"/>
        </w:rPr>
        <w:t xml:space="preserve">melt relocation, </w:t>
      </w:r>
      <w:r w:rsidRPr="00FE6CDD">
        <w:rPr>
          <w:b w:val="0"/>
          <w:sz w:val="24"/>
        </w:rPr>
        <w:t>melt oxidation, molten pool</w:t>
      </w:r>
    </w:p>
    <w:p w:rsidR="000465F2" w:rsidRDefault="000465F2"/>
    <w:sectPr w:rsidR="000465F2">
      <w:headerReference w:type="default" r:id="rId7"/>
      <w:footerReference w:type="first" r:id="rId8"/>
      <w:pgSz w:w="11907" w:h="16840" w:code="9"/>
      <w:pgMar w:top="1134" w:right="1361" w:bottom="1418" w:left="1361" w:header="72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D1" w:rsidRDefault="009B70D1">
      <w:r>
        <w:separator/>
      </w:r>
    </w:p>
  </w:endnote>
  <w:endnote w:type="continuationSeparator" w:id="0">
    <w:p w:rsidR="009B70D1" w:rsidRDefault="009B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insideV w:val="single" w:sz="4" w:space="0" w:color="auto"/>
      </w:tblBorders>
      <w:tblLook w:val="0000" w:firstRow="0" w:lastRow="0" w:firstColumn="0" w:lastColumn="0" w:noHBand="0" w:noVBand="0"/>
    </w:tblPr>
    <w:tblGrid>
      <w:gridCol w:w="9401"/>
    </w:tblGrid>
    <w:tr w:rsidR="000465F2">
      <w:tblPrEx>
        <w:tblCellMar>
          <w:top w:w="0" w:type="dxa"/>
          <w:bottom w:w="0" w:type="dxa"/>
        </w:tblCellMar>
      </w:tblPrEx>
      <w:trPr>
        <w:trHeight w:val="179"/>
      </w:trPr>
      <w:tc>
        <w:tcPr>
          <w:tcW w:w="9401" w:type="dxa"/>
        </w:tcPr>
        <w:p w:rsidR="000465F2" w:rsidRDefault="000465F2">
          <w:pPr>
            <w:pStyle w:val="Fuzeile"/>
            <w:jc w:val="center"/>
          </w:pPr>
          <w:r>
            <w:rPr>
              <w:sz w:val="28"/>
              <w:szCs w:val="28"/>
            </w:rPr>
            <w:t>July 2007</w:t>
          </w:r>
        </w:p>
      </w:tc>
    </w:tr>
    <w:tr w:rsidR="000465F2">
      <w:tblPrEx>
        <w:tblCellMar>
          <w:top w:w="0" w:type="dxa"/>
          <w:bottom w:w="0" w:type="dxa"/>
        </w:tblCellMar>
      </w:tblPrEx>
      <w:trPr>
        <w:cantSplit/>
      </w:trPr>
      <w:tc>
        <w:tcPr>
          <w:tcW w:w="0" w:type="auto"/>
        </w:tcPr>
        <w:p w:rsidR="000465F2" w:rsidRDefault="000465F2">
          <w:pPr>
            <w:pStyle w:val="Fuzeile"/>
            <w:jc w:val="center"/>
            <w:rPr>
              <w:bCs/>
            </w:rPr>
          </w:pPr>
          <w:r>
            <w:rPr>
              <w:bCs/>
            </w:rPr>
            <w:t xml:space="preserve">This work is supported financially by &lt;Funding Party&gt; and performed under the contract to the International Science and Technology Center (ISTC), </w:t>
          </w:r>
          <w:smartTag w:uri="urn:schemas-microsoft-com:office:smarttags" w:element="City">
            <w:smartTag w:uri="urn:schemas-microsoft-com:office:smarttags" w:element="place">
              <w:r>
                <w:rPr>
                  <w:bCs/>
                </w:rPr>
                <w:t>Moscow</w:t>
              </w:r>
            </w:smartTag>
          </w:smartTag>
          <w:r>
            <w:rPr>
              <w:bCs/>
            </w:rPr>
            <w:t>.</w:t>
          </w:r>
        </w:p>
      </w:tc>
    </w:tr>
  </w:tbl>
  <w:p w:rsidR="000465F2" w:rsidRDefault="000465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D1" w:rsidRDefault="009B70D1">
      <w:r>
        <w:separator/>
      </w:r>
    </w:p>
  </w:footnote>
  <w:footnote w:type="continuationSeparator" w:id="0">
    <w:p w:rsidR="009B70D1" w:rsidRDefault="009B7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000" w:firstRow="0" w:lastRow="0" w:firstColumn="0" w:lastColumn="0" w:noHBand="0" w:noVBand="0"/>
    </w:tblPr>
    <w:tblGrid>
      <w:gridCol w:w="1908"/>
      <w:gridCol w:w="5640"/>
      <w:gridCol w:w="1853"/>
    </w:tblGrid>
    <w:tr w:rsidR="000465F2">
      <w:tblPrEx>
        <w:tblCellMar>
          <w:top w:w="0" w:type="dxa"/>
          <w:bottom w:w="0" w:type="dxa"/>
        </w:tblCellMar>
      </w:tblPrEx>
      <w:tc>
        <w:tcPr>
          <w:tcW w:w="1908" w:type="dxa"/>
        </w:tcPr>
        <w:p w:rsidR="000465F2" w:rsidRDefault="000465F2">
          <w:pPr>
            <w:pStyle w:val="Kopfzeile"/>
            <w:rPr>
              <w:bCs/>
            </w:rPr>
          </w:pPr>
          <w:r>
            <w:rPr>
              <w:bCs/>
            </w:rPr>
            <w:t>Project # 2936</w:t>
          </w:r>
        </w:p>
      </w:tc>
      <w:tc>
        <w:tcPr>
          <w:tcW w:w="5640" w:type="dxa"/>
        </w:tcPr>
        <w:p w:rsidR="000465F2" w:rsidRDefault="000465F2">
          <w:pPr>
            <w:pStyle w:val="Kopfzeile"/>
            <w:jc w:val="center"/>
            <w:rPr>
              <w:bCs/>
            </w:rPr>
          </w:pPr>
          <w:r>
            <w:rPr>
              <w:bCs/>
            </w:rPr>
            <w:t>Summary</w:t>
          </w:r>
        </w:p>
      </w:tc>
      <w:tc>
        <w:tcPr>
          <w:tcW w:w="1853" w:type="dxa"/>
        </w:tcPr>
        <w:p w:rsidR="000465F2" w:rsidRDefault="000465F2">
          <w:pPr>
            <w:pStyle w:val="Kopfzeile"/>
            <w:jc w:val="right"/>
            <w:rPr>
              <w:bCs/>
            </w:rPr>
          </w:pPr>
          <w:r>
            <w:rPr>
              <w:bCs/>
            </w:rPr>
            <w:t xml:space="preserve">Page </w:t>
          </w:r>
          <w:r>
            <w:rPr>
              <w:bCs/>
            </w:rPr>
            <w:fldChar w:fldCharType="begin"/>
          </w:r>
          <w:r>
            <w:rPr>
              <w:bCs/>
            </w:rPr>
            <w:instrText xml:space="preserve"> PAGE  \* MERGEFORMAT </w:instrText>
          </w:r>
          <w:r>
            <w:rPr>
              <w:bCs/>
            </w:rPr>
            <w:fldChar w:fldCharType="separate"/>
          </w:r>
          <w:r w:rsidR="00074C16">
            <w:rPr>
              <w:bCs/>
              <w:noProof/>
            </w:rPr>
            <w:t>3</w:t>
          </w:r>
          <w:r>
            <w:rPr>
              <w:bCs/>
            </w:rPr>
            <w:fldChar w:fldCharType="end"/>
          </w:r>
          <w:r>
            <w:rPr>
              <w:bCs/>
            </w:rPr>
            <w:t xml:space="preserve"> / </w:t>
          </w:r>
          <w:r>
            <w:rPr>
              <w:bCs/>
            </w:rPr>
            <w:fldChar w:fldCharType="begin"/>
          </w:r>
          <w:r>
            <w:rPr>
              <w:bCs/>
            </w:rPr>
            <w:instrText xml:space="preserve"> NUMPAGES  \* MERGEFORMAT </w:instrText>
          </w:r>
          <w:r>
            <w:rPr>
              <w:bCs/>
            </w:rPr>
            <w:fldChar w:fldCharType="separate"/>
          </w:r>
          <w:r w:rsidR="00074C16">
            <w:rPr>
              <w:bCs/>
              <w:noProof/>
            </w:rPr>
            <w:t>3</w:t>
          </w:r>
          <w:r>
            <w:rPr>
              <w:bCs/>
            </w:rPr>
            <w:fldChar w:fldCharType="end"/>
          </w:r>
        </w:p>
      </w:tc>
    </w:tr>
  </w:tbl>
  <w:p w:rsidR="000465F2" w:rsidRDefault="000465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C33759"/>
    <w:multiLevelType w:val="hybridMultilevel"/>
    <w:tmpl w:val="D6F4E832"/>
    <w:lvl w:ilvl="0" w:tplc="5166316C">
      <w:start w:val="1"/>
      <w:numFmt w:val="decimal"/>
      <w:pStyle w:val="berschrift1"/>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D925BF"/>
    <w:multiLevelType w:val="hybridMultilevel"/>
    <w:tmpl w:val="AEC8CA56"/>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14E6F86"/>
    <w:multiLevelType w:val="hybridMultilevel"/>
    <w:tmpl w:val="FA02CB6E"/>
    <w:lvl w:ilvl="0" w:tplc="EB6298AE">
      <w:start w:val="1"/>
      <w:numFmt w:val="bullet"/>
      <w:lvlText w:val=""/>
      <w:lvlJc w:val="left"/>
      <w:pPr>
        <w:tabs>
          <w:tab w:val="num" w:pos="1134"/>
        </w:tabs>
        <w:ind w:left="1134" w:hanging="567"/>
      </w:pPr>
      <w:rPr>
        <w:rFonts w:ascii="Symbol" w:hAnsi="Symbol" w:hint="default"/>
      </w:rPr>
    </w:lvl>
    <w:lvl w:ilvl="1" w:tplc="EAA6A1F4">
      <w:numFmt w:val="bullet"/>
      <w:lvlText w:val="-"/>
      <w:lvlJc w:val="left"/>
      <w:pPr>
        <w:tabs>
          <w:tab w:val="num" w:pos="2277"/>
        </w:tabs>
        <w:ind w:left="2277" w:hanging="630"/>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330E6F40"/>
    <w:multiLevelType w:val="hybridMultilevel"/>
    <w:tmpl w:val="577A49C0"/>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D68085B"/>
    <w:multiLevelType w:val="hybridMultilevel"/>
    <w:tmpl w:val="C26AF98A"/>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1848CE34">
      <w:start w:val="1"/>
      <w:numFmt w:val="bullet"/>
      <w:lvlText w:val=""/>
      <w:lvlJc w:val="left"/>
      <w:pPr>
        <w:tabs>
          <w:tab w:val="num" w:pos="1440"/>
        </w:tabs>
        <w:ind w:left="1440" w:hanging="360"/>
      </w:pPr>
      <w:rPr>
        <w:rFonts w:ascii="Symbol" w:hAnsi="Symbol" w:hint="default"/>
        <w:color w:val="auto"/>
      </w:rPr>
    </w:lvl>
    <w:lvl w:ilvl="2" w:tplc="04190017">
      <w:start w:val="1"/>
      <w:numFmt w:val="lowerLetter"/>
      <w:lvlText w:val="%3)"/>
      <w:lvlJc w:val="left"/>
      <w:pPr>
        <w:tabs>
          <w:tab w:val="num" w:pos="2340"/>
        </w:tabs>
        <w:ind w:left="2340" w:hanging="360"/>
      </w:pPr>
      <w:rPr>
        <w:rFonts w:hint="default"/>
      </w:rPr>
    </w:lvl>
    <w:lvl w:ilvl="3" w:tplc="EE305E4C">
      <w:numFmt w:val="bullet"/>
      <w:lvlText w:val="-"/>
      <w:lvlJc w:val="left"/>
      <w:pPr>
        <w:tabs>
          <w:tab w:val="num" w:pos="2880"/>
        </w:tabs>
        <w:ind w:left="2880" w:hanging="360"/>
      </w:pPr>
      <w:rPr>
        <w:rFonts w:ascii="Times New Roman" w:eastAsia="Times New Roman" w:hAnsi="Times New Roman" w:cs="Times New Roman" w:hint="default"/>
        <w:color w:val="0000FF"/>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3430BA"/>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D63"/>
    <w:rsid w:val="000465F2"/>
    <w:rsid w:val="00074C16"/>
    <w:rsid w:val="002730DF"/>
    <w:rsid w:val="004B19CE"/>
    <w:rsid w:val="00970283"/>
    <w:rsid w:val="009B70D1"/>
    <w:rsid w:val="00B22038"/>
    <w:rsid w:val="00FE7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1E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2"/>
      </w:numPr>
      <w:outlineLvl w:val="0"/>
    </w:pPr>
    <w:rPr>
      <w:b/>
      <w:sz w:val="28"/>
      <w:szCs w:val="20"/>
      <w:lang w:eastAsia="ru-RU"/>
    </w:rPr>
  </w:style>
  <w:style w:type="paragraph" w:styleId="berschrift2">
    <w:name w:val="heading 2"/>
    <w:basedOn w:val="Standard"/>
    <w:next w:val="Standard"/>
    <w:qFormat/>
    <w:pPr>
      <w:keepNext/>
      <w:jc w:val="center"/>
      <w:outlineLvl w:val="1"/>
    </w:pPr>
    <w:rPr>
      <w:szCs w:val="20"/>
      <w:lang w:eastAsia="ru-RU"/>
    </w:rPr>
  </w:style>
  <w:style w:type="paragraph" w:styleId="berschrift3">
    <w:name w:val="heading 3"/>
    <w:basedOn w:val="Standard"/>
    <w:next w:val="Standard"/>
    <w:qFormat/>
    <w:pPr>
      <w:keepNext/>
      <w:outlineLvl w:val="2"/>
    </w:pPr>
    <w:rPr>
      <w:b/>
      <w:szCs w:val="20"/>
      <w:lang w:eastAsia="ru-RU"/>
    </w:rPr>
  </w:style>
  <w:style w:type="paragraph" w:styleId="berschrift4">
    <w:name w:val="heading 4"/>
    <w:basedOn w:val="Standard"/>
    <w:next w:val="Standard"/>
    <w:qFormat/>
    <w:pPr>
      <w:keepNext/>
      <w:jc w:val="both"/>
      <w:outlineLvl w:val="3"/>
    </w:pPr>
    <w:rPr>
      <w:b/>
      <w:sz w:val="28"/>
      <w:szCs w:val="20"/>
      <w:lang w:eastAsia="ru-RU"/>
    </w:rPr>
  </w:style>
  <w:style w:type="paragraph" w:styleId="berschrift7">
    <w:name w:val="heading 7"/>
    <w:basedOn w:val="Standard"/>
    <w:next w:val="Standard"/>
    <w:qFormat/>
    <w:pPr>
      <w:keepNext/>
      <w:spacing w:line="360" w:lineRule="auto"/>
      <w:jc w:val="center"/>
      <w:outlineLvl w:val="6"/>
    </w:pPr>
    <w:rPr>
      <w:b/>
      <w:sz w:val="36"/>
      <w:szCs w:val="20"/>
      <w:lang w:eastAsia="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sz w:val="28"/>
      <w:szCs w:val="20"/>
      <w:lang w:eastAsia="ru-RU"/>
    </w:rPr>
  </w:style>
  <w:style w:type="paragraph" w:styleId="Kopfzeile">
    <w:name w:val="header"/>
    <w:basedOn w:val="Standard"/>
    <w:pPr>
      <w:tabs>
        <w:tab w:val="center" w:pos="4844"/>
        <w:tab w:val="right" w:pos="9689"/>
      </w:tabs>
    </w:pPr>
  </w:style>
  <w:style w:type="paragraph" w:styleId="Fuzeile">
    <w:name w:val="footer"/>
    <w:basedOn w:val="Standard"/>
    <w:pPr>
      <w:tabs>
        <w:tab w:val="center" w:pos="4844"/>
        <w:tab w:val="right" w:pos="9689"/>
      </w:tabs>
    </w:pPr>
  </w:style>
  <w:style w:type="character" w:styleId="Hyperlink">
    <w:name w:val="Hyperlink"/>
    <w:rPr>
      <w:color w:val="0000FF"/>
      <w:u w:val="single"/>
    </w:rPr>
  </w:style>
  <w:style w:type="paragraph" w:customStyle="1" w:styleId="Cover1">
    <w:name w:val="Cover1"/>
    <w:basedOn w:val="Standard"/>
    <w:pPr>
      <w:jc w:val="center"/>
    </w:pPr>
    <w:rPr>
      <w:b/>
      <w:sz w:val="32"/>
      <w:lang w:val="en-GB"/>
    </w:rPr>
  </w:style>
  <w:style w:type="paragraph" w:customStyle="1" w:styleId="Cover2">
    <w:name w:val="Cover2"/>
    <w:basedOn w:val="Standard"/>
    <w:next w:val="Standard"/>
    <w:rPr>
      <w:b/>
      <w:sz w:val="28"/>
    </w:rPr>
  </w:style>
  <w:style w:type="paragraph" w:customStyle="1" w:styleId="Punkt1">
    <w:name w:val="Punkt1"/>
    <w:basedOn w:val="Standard"/>
    <w:pPr>
      <w:numPr>
        <w:numId w:val="62"/>
      </w:numPr>
    </w:pPr>
    <w:rPr>
      <w:sz w:val="22"/>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4874</Characters>
  <Application>Microsoft Office Word</Application>
  <DocSecurity>0</DocSecurity>
  <Lines>40</Lines>
  <Paragraphs>11</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Project Technical Report</vt:lpstr>
      <vt:lpstr>Project Technical Report</vt:lpstr>
    </vt:vector>
  </TitlesOfParts>
  <Company>ISTC</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Technical Report</dc:title>
  <dc:subject>2121</dc:subject>
  <dc:creator>Burkhard Endrullat</dc:creator>
  <dc:description>Summary of 1st Annual / Final Project Activities/Technical Report</dc:description>
  <cp:lastModifiedBy>Peters, Ursula</cp:lastModifiedBy>
  <cp:revision>2</cp:revision>
  <cp:lastPrinted>2006-08-25T08:08:00Z</cp:lastPrinted>
  <dcterms:created xsi:type="dcterms:W3CDTF">2012-10-15T16:28:00Z</dcterms:created>
  <dcterms:modified xsi:type="dcterms:W3CDTF">2012-10-15T16:28:00Z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Summary Technical Report</vt:lpwstr>
  </property>
</Properties>
</file>